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23312" w:rsidRPr="00923312" w14:paraId="7342848E" w14:textId="77777777">
        <w:tc>
          <w:tcPr>
            <w:tcW w:w="9212" w:type="dxa"/>
          </w:tcPr>
          <w:p w14:paraId="3856C14D" w14:textId="77777777" w:rsidR="008E6675" w:rsidRPr="00923312" w:rsidRDefault="008E6675" w:rsidP="002005AF">
            <w:pPr>
              <w:rPr>
                <w:rFonts w:ascii="Arial Narrow" w:hAnsi="Arial Narrow"/>
                <w:b/>
              </w:rPr>
            </w:pPr>
            <w:r w:rsidRPr="00923312">
              <w:rPr>
                <w:rFonts w:ascii="Arial Narrow" w:hAnsi="Arial Narrow"/>
                <w:b/>
                <w:sz w:val="22"/>
              </w:rPr>
              <w:t xml:space="preserve">Haben Sie externe Hilfestellungen </w:t>
            </w:r>
            <w:r w:rsidR="002333FF" w:rsidRPr="00923312">
              <w:rPr>
                <w:rFonts w:ascii="Arial Narrow" w:hAnsi="Arial Narrow"/>
                <w:b/>
                <w:sz w:val="22"/>
              </w:rPr>
              <w:t xml:space="preserve">zum Ausfüllen der Formblätter </w:t>
            </w:r>
            <w:r w:rsidRPr="00923312">
              <w:rPr>
                <w:rFonts w:ascii="Arial Narrow" w:hAnsi="Arial Narrow"/>
                <w:b/>
                <w:sz w:val="22"/>
              </w:rPr>
              <w:t>in Anspruch genommen</w:t>
            </w:r>
            <w:r w:rsidR="002005AF" w:rsidRPr="00923312">
              <w:rPr>
                <w:rFonts w:ascii="Arial Narrow" w:hAnsi="Arial Narrow"/>
                <w:b/>
                <w:sz w:val="22"/>
              </w:rPr>
              <w:t>?</w:t>
            </w:r>
            <w:r w:rsidRPr="00923312">
              <w:rPr>
                <w:rFonts w:ascii="Arial Narrow" w:hAnsi="Arial Narrow"/>
                <w:b/>
                <w:sz w:val="22"/>
              </w:rPr>
              <w:t xml:space="preserve">  Wenn ja, bitte geben Sie an, welche Hilfestellung</w:t>
            </w:r>
            <w:r w:rsidR="002005AF" w:rsidRPr="00923312">
              <w:rPr>
                <w:rFonts w:ascii="Arial Narrow" w:hAnsi="Arial Narrow"/>
                <w:b/>
                <w:sz w:val="22"/>
              </w:rPr>
              <w:t xml:space="preserve"> Sie in Anspruch genommen haben</w:t>
            </w:r>
            <w:r w:rsidRPr="00923312">
              <w:rPr>
                <w:rFonts w:ascii="Arial Narrow" w:hAnsi="Arial Narrow"/>
                <w:b/>
                <w:sz w:val="22"/>
              </w:rPr>
              <w:t>?</w:t>
            </w:r>
          </w:p>
        </w:tc>
      </w:tr>
      <w:tr w:rsidR="00923312" w:rsidRPr="00923312" w14:paraId="2315EEB9" w14:textId="77777777">
        <w:tc>
          <w:tcPr>
            <w:tcW w:w="9212" w:type="dxa"/>
          </w:tcPr>
          <w:p w14:paraId="59E436C4" w14:textId="72F44F36" w:rsidR="008E6675" w:rsidRPr="00923312" w:rsidRDefault="000B5149" w:rsidP="005638EB">
            <w:pPr>
              <w:rPr>
                <w:rFonts w:ascii="Arial Narrow" w:hAnsi="Arial Narrow"/>
              </w:rPr>
            </w:pPr>
            <w:r w:rsidRPr="00923312">
              <w:rPr>
                <w:rFonts w:ascii="Arial Narrow" w:hAnsi="Arial Narrow"/>
                <w:sz w:val="22"/>
              </w:rPr>
              <w:t xml:space="preserve">Dieser Antrag wurde durch die </w:t>
            </w:r>
            <w:r w:rsidR="009A55B0" w:rsidRPr="00923312">
              <w:rPr>
                <w:rFonts w:ascii="Arial Narrow" w:hAnsi="Arial Narrow"/>
                <w:sz w:val="22"/>
              </w:rPr>
              <w:t xml:space="preserve">Deutsche Gesellschaft für Infektiologie </w:t>
            </w:r>
            <w:r w:rsidRPr="00923312">
              <w:rPr>
                <w:rFonts w:ascii="Arial Narrow" w:hAnsi="Arial Narrow"/>
                <w:sz w:val="22"/>
              </w:rPr>
              <w:t>e.V. vorformuliert.</w:t>
            </w:r>
          </w:p>
        </w:tc>
      </w:tr>
    </w:tbl>
    <w:p w14:paraId="1B73E9CE" w14:textId="77777777" w:rsidR="008E6675" w:rsidRPr="00923312" w:rsidRDefault="008E6675" w:rsidP="005638EB">
      <w:pPr>
        <w:rPr>
          <w:rFonts w:ascii="Arial Narrow" w:hAnsi="Arial Narrow"/>
        </w:rPr>
      </w:pPr>
    </w:p>
    <w:tbl>
      <w:tblPr>
        <w:tblW w:w="921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23312" w:rsidRPr="00923312" w14:paraId="69DF06E3" w14:textId="77777777" w:rsidTr="000B5149">
        <w:tc>
          <w:tcPr>
            <w:tcW w:w="9212" w:type="dxa"/>
          </w:tcPr>
          <w:p w14:paraId="48DD38F6" w14:textId="62BF7CF8" w:rsidR="008E6675" w:rsidRPr="00923312" w:rsidRDefault="008E6675" w:rsidP="005638EB">
            <w:pPr>
              <w:rPr>
                <w:rFonts w:ascii="Arial Narrow" w:hAnsi="Arial Narrow"/>
                <w:b/>
              </w:rPr>
            </w:pPr>
            <w:r w:rsidRPr="00923312">
              <w:rPr>
                <w:rFonts w:ascii="Arial Narrow" w:hAnsi="Arial Narrow"/>
                <w:b/>
                <w:sz w:val="22"/>
              </w:rPr>
              <w:t>Angefragte Untersuchungs- und Beh</w:t>
            </w:r>
            <w:r w:rsidR="002333FF" w:rsidRPr="00923312">
              <w:rPr>
                <w:rFonts w:ascii="Arial Narrow" w:hAnsi="Arial Narrow"/>
                <w:b/>
                <w:sz w:val="22"/>
              </w:rPr>
              <w:t>andlungsmethode</w:t>
            </w:r>
          </w:p>
        </w:tc>
      </w:tr>
      <w:tr w:rsidR="00923312" w:rsidRPr="00923312" w14:paraId="3534B4A0" w14:textId="77777777" w:rsidTr="000B5149">
        <w:tc>
          <w:tcPr>
            <w:tcW w:w="9212" w:type="dxa"/>
          </w:tcPr>
          <w:p w14:paraId="2C182448" w14:textId="72D40229" w:rsidR="000B5149" w:rsidRPr="00923312" w:rsidRDefault="009A55B0" w:rsidP="000B5149">
            <w:pPr>
              <w:rPr>
                <w:rFonts w:ascii="Arial Narrow" w:hAnsi="Arial Narrow"/>
                <w:sz w:val="22"/>
              </w:rPr>
            </w:pPr>
            <w:r w:rsidRPr="00923312">
              <w:rPr>
                <w:rFonts w:ascii="Arial Narrow" w:hAnsi="Arial Narrow"/>
                <w:sz w:val="22"/>
              </w:rPr>
              <w:t>Sipavibart</w:t>
            </w:r>
          </w:p>
        </w:tc>
      </w:tr>
    </w:tbl>
    <w:p w14:paraId="42022921" w14:textId="77777777" w:rsidR="008E6675" w:rsidRPr="00923312" w:rsidRDefault="008E6675" w:rsidP="005638EB">
      <w:pPr>
        <w:rPr>
          <w:rFonts w:ascii="Arial Narrow" w:hAnsi="Arial Narrow"/>
          <w:b/>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23312" w:rsidRPr="00923312" w14:paraId="16B6F275" w14:textId="77777777">
        <w:tc>
          <w:tcPr>
            <w:tcW w:w="9212" w:type="dxa"/>
          </w:tcPr>
          <w:p w14:paraId="67F0AA02" w14:textId="4EF70D85" w:rsidR="008E6675" w:rsidRPr="00923312" w:rsidRDefault="008E6675" w:rsidP="00596F9A">
            <w:pPr>
              <w:tabs>
                <w:tab w:val="left" w:pos="7465"/>
              </w:tabs>
              <w:rPr>
                <w:rFonts w:ascii="Arial Narrow" w:hAnsi="Arial Narrow"/>
                <w:b/>
              </w:rPr>
            </w:pPr>
            <w:r w:rsidRPr="00923312">
              <w:rPr>
                <w:rFonts w:ascii="Arial Narrow" w:hAnsi="Arial Narrow"/>
                <w:b/>
                <w:sz w:val="22"/>
              </w:rPr>
              <w:t>Alternative Bezeichnung(en) der Methode</w:t>
            </w:r>
            <w:r w:rsidRPr="00923312">
              <w:rPr>
                <w:rFonts w:ascii="Arial Narrow" w:hAnsi="Arial Narrow"/>
                <w:b/>
                <w:sz w:val="22"/>
              </w:rPr>
              <w:tab/>
            </w:r>
          </w:p>
        </w:tc>
      </w:tr>
      <w:tr w:rsidR="00923312" w:rsidRPr="00923312" w14:paraId="6AA1CD49" w14:textId="77777777">
        <w:tc>
          <w:tcPr>
            <w:tcW w:w="9212" w:type="dxa"/>
          </w:tcPr>
          <w:p w14:paraId="03804348" w14:textId="2A30456F" w:rsidR="008E6675" w:rsidRPr="00923312" w:rsidRDefault="003214AB" w:rsidP="005638EB">
            <w:pPr>
              <w:rPr>
                <w:rFonts w:ascii="Arial Narrow" w:hAnsi="Arial Narrow"/>
              </w:rPr>
            </w:pPr>
            <w:r w:rsidRPr="00923312">
              <w:rPr>
                <w:rFonts w:ascii="Arial Narrow" w:hAnsi="Arial Narrow"/>
                <w:sz w:val="22"/>
              </w:rPr>
              <w:t>AZD3152</w:t>
            </w:r>
          </w:p>
        </w:tc>
      </w:tr>
    </w:tbl>
    <w:p w14:paraId="5C4D6932" w14:textId="77777777" w:rsidR="004C4F82" w:rsidRPr="00923312" w:rsidRDefault="004C4F82"/>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23312" w:rsidRPr="00923312" w14:paraId="6FC43EE4" w14:textId="77777777" w:rsidTr="004C4F82">
        <w:tc>
          <w:tcPr>
            <w:tcW w:w="9212" w:type="dxa"/>
            <w:tcBorders>
              <w:top w:val="single" w:sz="4" w:space="0" w:color="auto"/>
              <w:left w:val="single" w:sz="4" w:space="0" w:color="auto"/>
              <w:bottom w:val="single" w:sz="4" w:space="0" w:color="auto"/>
              <w:right w:val="single" w:sz="4" w:space="0" w:color="auto"/>
            </w:tcBorders>
          </w:tcPr>
          <w:p w14:paraId="20C990C9" w14:textId="48FE42C0" w:rsidR="004C4F82" w:rsidRPr="00923312" w:rsidRDefault="004C4F82" w:rsidP="004C4F82">
            <w:pPr>
              <w:tabs>
                <w:tab w:val="left" w:pos="7465"/>
              </w:tabs>
              <w:rPr>
                <w:rFonts w:ascii="Arial Narrow" w:hAnsi="Arial Narrow"/>
                <w:b/>
                <w:sz w:val="22"/>
              </w:rPr>
            </w:pPr>
            <w:r w:rsidRPr="00923312">
              <w:rPr>
                <w:rFonts w:ascii="Arial Narrow" w:hAnsi="Arial Narrow"/>
                <w:b/>
                <w:sz w:val="22"/>
              </w:rPr>
              <w:t>Beruht die neue Untersuchungs- und Behandlungsmethode vollständig oder in Teilen auf dem Einsatz eines Medizinproduktes?</w:t>
            </w:r>
            <w:r w:rsidRPr="00923312">
              <w:rPr>
                <w:rFonts w:ascii="Arial Narrow" w:hAnsi="Arial Narrow"/>
                <w:b/>
                <w:sz w:val="22"/>
              </w:rPr>
              <w:tab/>
            </w:r>
          </w:p>
        </w:tc>
      </w:tr>
      <w:tr w:rsidR="00923312" w:rsidRPr="00923312" w14:paraId="049FBCCE" w14:textId="77777777" w:rsidTr="004C4F82">
        <w:tc>
          <w:tcPr>
            <w:tcW w:w="9212" w:type="dxa"/>
            <w:tcBorders>
              <w:top w:val="single" w:sz="4" w:space="0" w:color="auto"/>
              <w:left w:val="single" w:sz="4" w:space="0" w:color="auto"/>
              <w:bottom w:val="single" w:sz="4" w:space="0" w:color="auto"/>
              <w:right w:val="single" w:sz="4" w:space="0" w:color="auto"/>
            </w:tcBorders>
          </w:tcPr>
          <w:p w14:paraId="56ADA2CB" w14:textId="77777777" w:rsidR="008B7669" w:rsidRPr="00923312" w:rsidRDefault="008B7669" w:rsidP="008B7669">
            <w:pPr>
              <w:rPr>
                <w:rFonts w:ascii="Arial Narrow" w:hAnsi="Arial Narrow"/>
                <w:sz w:val="22"/>
              </w:rPr>
            </w:pPr>
            <w:r w:rsidRPr="00923312">
              <w:rPr>
                <w:rFonts w:ascii="Arial Narrow" w:hAnsi="Arial Narrow"/>
                <w:sz w:val="22"/>
              </w:rPr>
              <w:t>[</w:t>
            </w:r>
            <w:r w:rsidRPr="00923312">
              <w:rPr>
                <w:rFonts w:ascii="Arial Narrow" w:hAnsi="Arial Narrow"/>
                <w:sz w:val="22"/>
                <w:highlight w:val="yellow"/>
              </w:rPr>
              <w:t>nein ankreuzen</w:t>
            </w:r>
            <w:r w:rsidRPr="00923312">
              <w:rPr>
                <w:rFonts w:ascii="Arial Narrow" w:hAnsi="Arial Narrow"/>
                <w:sz w:val="22"/>
              </w:rPr>
              <w:t>]</w:t>
            </w:r>
          </w:p>
          <w:p w14:paraId="5E4B2A39" w14:textId="618973C4" w:rsidR="004C4F82" w:rsidRPr="00923312" w:rsidRDefault="008B7669" w:rsidP="008B7669">
            <w:pPr>
              <w:rPr>
                <w:rFonts w:ascii="Arial Narrow" w:hAnsi="Arial Narrow"/>
                <w:sz w:val="22"/>
              </w:rPr>
            </w:pPr>
            <w:r w:rsidRPr="00923312">
              <w:rPr>
                <w:rFonts w:ascii="Arial Narrow" w:hAnsi="Arial Narrow"/>
                <w:sz w:val="22"/>
              </w:rPr>
              <w:t>[</w:t>
            </w:r>
            <w:r w:rsidR="004C4F82" w:rsidRPr="00923312">
              <w:rPr>
                <w:rFonts w:ascii="Arial Narrow" w:hAnsi="Arial Narrow"/>
                <w:sz w:val="22"/>
              </w:rPr>
              <w:t>Hier</w:t>
            </w:r>
            <w:r w:rsidRPr="00923312">
              <w:rPr>
                <w:rFonts w:ascii="Arial Narrow" w:hAnsi="Arial Narrow"/>
                <w:sz w:val="22"/>
              </w:rPr>
              <w:t xml:space="preserve"> </w:t>
            </w:r>
            <w:r w:rsidR="004C4F82" w:rsidRPr="00923312">
              <w:rPr>
                <w:rFonts w:ascii="Arial Narrow" w:hAnsi="Arial Narrow"/>
                <w:sz w:val="22"/>
              </w:rPr>
              <w:t>nein ankreuzen</w:t>
            </w:r>
            <w:r w:rsidRPr="00923312">
              <w:rPr>
                <w:rFonts w:ascii="Arial Narrow" w:hAnsi="Arial Narrow"/>
                <w:sz w:val="22"/>
              </w:rPr>
              <w:t xml:space="preserve">, da </w:t>
            </w:r>
            <w:r w:rsidR="00394E09" w:rsidRPr="00923312">
              <w:rPr>
                <w:rFonts w:ascii="Arial Narrow" w:hAnsi="Arial Narrow"/>
                <w:sz w:val="22"/>
              </w:rPr>
              <w:t>es</w:t>
            </w:r>
            <w:r w:rsidRPr="00923312">
              <w:rPr>
                <w:rFonts w:ascii="Arial Narrow" w:hAnsi="Arial Narrow"/>
                <w:sz w:val="22"/>
              </w:rPr>
              <w:t xml:space="preserve"> </w:t>
            </w:r>
            <w:r w:rsidR="000B5149" w:rsidRPr="00923312">
              <w:rPr>
                <w:rFonts w:ascii="Arial Narrow" w:hAnsi="Arial Narrow"/>
                <w:sz w:val="22"/>
              </w:rPr>
              <w:t xml:space="preserve">sich </w:t>
            </w:r>
            <w:r w:rsidR="00394E09" w:rsidRPr="00923312">
              <w:rPr>
                <w:rFonts w:ascii="Arial Narrow" w:hAnsi="Arial Narrow"/>
                <w:sz w:val="22"/>
              </w:rPr>
              <w:t>nicht um eine</w:t>
            </w:r>
            <w:r w:rsidRPr="00923312">
              <w:rPr>
                <w:rFonts w:ascii="Arial Narrow" w:hAnsi="Arial Narrow"/>
                <w:sz w:val="22"/>
              </w:rPr>
              <w:t xml:space="preserve"> Anfrage für </w:t>
            </w:r>
            <w:r w:rsidR="00394E09" w:rsidRPr="00923312">
              <w:rPr>
                <w:rFonts w:ascii="Arial Narrow" w:hAnsi="Arial Narrow"/>
                <w:sz w:val="22"/>
              </w:rPr>
              <w:t xml:space="preserve">ein </w:t>
            </w:r>
            <w:r w:rsidRPr="00923312">
              <w:rPr>
                <w:rFonts w:ascii="Arial Narrow" w:hAnsi="Arial Narrow"/>
                <w:sz w:val="22"/>
              </w:rPr>
              <w:t xml:space="preserve">Medizinprodukt </w:t>
            </w:r>
            <w:r w:rsidR="00394E09" w:rsidRPr="00923312">
              <w:rPr>
                <w:rFonts w:ascii="Arial Narrow" w:hAnsi="Arial Narrow"/>
                <w:sz w:val="22"/>
              </w:rPr>
              <w:t>handelt</w:t>
            </w:r>
            <w:r w:rsidRPr="00923312">
              <w:rPr>
                <w:rFonts w:ascii="Arial Narrow" w:hAnsi="Arial Narrow"/>
                <w:sz w:val="22"/>
              </w:rPr>
              <w:t>]</w:t>
            </w:r>
            <w:r w:rsidR="006C656D" w:rsidRPr="00923312">
              <w:rPr>
                <w:rFonts w:ascii="Arial Narrow" w:hAnsi="Arial Narrow"/>
                <w:sz w:val="22"/>
              </w:rPr>
              <w:t xml:space="preserve">. </w:t>
            </w:r>
          </w:p>
        </w:tc>
      </w:tr>
    </w:tbl>
    <w:p w14:paraId="7F1AD41E" w14:textId="77777777" w:rsidR="008E6675" w:rsidRPr="00923312"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23312" w:rsidRPr="00923312" w14:paraId="5055E8B5" w14:textId="77777777" w:rsidTr="0036178C">
        <w:tc>
          <w:tcPr>
            <w:tcW w:w="9212" w:type="dxa"/>
          </w:tcPr>
          <w:p w14:paraId="43488653" w14:textId="1D568D83" w:rsidR="00492AB4" w:rsidRPr="00923312" w:rsidRDefault="00492AB4" w:rsidP="006354B6">
            <w:pPr>
              <w:tabs>
                <w:tab w:val="left" w:pos="7465"/>
              </w:tabs>
              <w:rPr>
                <w:rFonts w:ascii="Arial Narrow" w:hAnsi="Arial Narrow"/>
                <w:b/>
              </w:rPr>
            </w:pPr>
            <w:r w:rsidRPr="00923312">
              <w:rPr>
                <w:rFonts w:ascii="Arial Narrow" w:hAnsi="Arial Narrow"/>
                <w:b/>
                <w:sz w:val="22"/>
              </w:rPr>
              <w:t>Wurde für diese angefrag</w:t>
            </w:r>
            <w:r w:rsidR="00DC6CBD" w:rsidRPr="00923312">
              <w:rPr>
                <w:rFonts w:ascii="Arial Narrow" w:hAnsi="Arial Narrow"/>
                <w:b/>
                <w:sz w:val="22"/>
              </w:rPr>
              <w:t>te Untersuchungs- und Behandlungsmethode von Ihrem Kranke</w:t>
            </w:r>
            <w:r w:rsidR="00DB14F4" w:rsidRPr="00923312">
              <w:rPr>
                <w:rFonts w:ascii="Arial Narrow" w:hAnsi="Arial Narrow"/>
                <w:b/>
                <w:sz w:val="22"/>
              </w:rPr>
              <w:t>nhaus bereits vor dem 01.01.202</w:t>
            </w:r>
            <w:r w:rsidR="000B5149" w:rsidRPr="00923312">
              <w:rPr>
                <w:rFonts w:ascii="Arial Narrow" w:hAnsi="Arial Narrow"/>
                <w:b/>
                <w:sz w:val="22"/>
              </w:rPr>
              <w:t>4</w:t>
            </w:r>
            <w:r w:rsidR="00DC6CBD" w:rsidRPr="00923312">
              <w:rPr>
                <w:rFonts w:ascii="Arial Narrow" w:hAnsi="Arial Narrow"/>
                <w:b/>
                <w:sz w:val="22"/>
              </w:rPr>
              <w:t xml:space="preserve"> eine Anfrage gemäß §6 Abs. 2 KHEntG an das InEK übermittelt</w:t>
            </w:r>
            <w:r w:rsidR="002333FF" w:rsidRPr="00923312">
              <w:rPr>
                <w:rFonts w:ascii="Arial Narrow" w:hAnsi="Arial Narrow"/>
                <w:b/>
                <w:sz w:val="22"/>
              </w:rPr>
              <w:t>?</w:t>
            </w:r>
          </w:p>
        </w:tc>
      </w:tr>
      <w:tr w:rsidR="00923312" w:rsidRPr="00923312" w14:paraId="3F239A32" w14:textId="77777777" w:rsidTr="0036178C">
        <w:tc>
          <w:tcPr>
            <w:tcW w:w="9212" w:type="dxa"/>
          </w:tcPr>
          <w:p w14:paraId="0ACD3755" w14:textId="2CB0BA36" w:rsidR="00DB14F4" w:rsidRPr="00923312" w:rsidRDefault="00ED79AA" w:rsidP="0036178C">
            <w:pPr>
              <w:rPr>
                <w:rFonts w:ascii="Arial Narrow" w:hAnsi="Arial Narrow"/>
                <w:sz w:val="22"/>
                <w:highlight w:val="yellow"/>
              </w:rPr>
            </w:pPr>
            <w:r w:rsidRPr="00923312">
              <w:rPr>
                <w:rFonts w:ascii="Arial Narrow" w:hAnsi="Arial Narrow"/>
                <w:sz w:val="22"/>
                <w:highlight w:val="yellow"/>
              </w:rPr>
              <w:t>[</w:t>
            </w:r>
            <w:r w:rsidR="00DC6CBD" w:rsidRPr="00923312">
              <w:rPr>
                <w:rFonts w:ascii="Arial Narrow" w:hAnsi="Arial Narrow"/>
                <w:sz w:val="22"/>
                <w:highlight w:val="yellow"/>
              </w:rPr>
              <w:t>Ja/nein</w:t>
            </w:r>
            <w:r w:rsidRPr="00923312">
              <w:rPr>
                <w:rFonts w:ascii="Arial Narrow" w:hAnsi="Arial Narrow"/>
                <w:sz w:val="22"/>
                <w:highlight w:val="yellow"/>
              </w:rPr>
              <w:t xml:space="preserve"> ankreuzen.</w:t>
            </w:r>
            <w:r w:rsidR="006C656D" w:rsidRPr="00923312">
              <w:rPr>
                <w:rFonts w:ascii="Arial Narrow" w:hAnsi="Arial Narrow"/>
                <w:sz w:val="22"/>
                <w:highlight w:val="yellow"/>
              </w:rPr>
              <w:t xml:space="preserve"> </w:t>
            </w:r>
            <w:r w:rsidR="00C21654" w:rsidRPr="00923312">
              <w:rPr>
                <w:rFonts w:ascii="Arial Narrow" w:hAnsi="Arial Narrow"/>
                <w:sz w:val="22"/>
                <w:highlight w:val="yellow"/>
              </w:rPr>
              <w:t>Bei ja Nummer aus Liste</w:t>
            </w:r>
            <w:r w:rsidRPr="00923312">
              <w:rPr>
                <w:rFonts w:ascii="Arial Narrow" w:hAnsi="Arial Narrow"/>
                <w:sz w:val="22"/>
                <w:highlight w:val="yellow"/>
              </w:rPr>
              <w:t xml:space="preserve"> auswählen]</w:t>
            </w:r>
          </w:p>
          <w:p w14:paraId="7DD0679B" w14:textId="6EE0BE27" w:rsidR="000B5149" w:rsidRPr="00923312" w:rsidRDefault="00DB14F4" w:rsidP="00DB14F4">
            <w:pPr>
              <w:rPr>
                <w:rFonts w:ascii="Arial Narrow" w:hAnsi="Arial Narrow"/>
                <w:sz w:val="22"/>
              </w:rPr>
            </w:pPr>
            <w:r w:rsidRPr="00923312">
              <w:rPr>
                <w:rFonts w:ascii="Arial Narrow" w:hAnsi="Arial Narrow"/>
                <w:sz w:val="22"/>
              </w:rPr>
              <w:t>[D</w:t>
            </w:r>
            <w:r w:rsidR="006C656D" w:rsidRPr="00923312">
              <w:rPr>
                <w:rFonts w:ascii="Arial Narrow" w:hAnsi="Arial Narrow"/>
                <w:sz w:val="22"/>
              </w:rPr>
              <w:t>ie Angab</w:t>
            </w:r>
            <w:r w:rsidRPr="00923312">
              <w:rPr>
                <w:rFonts w:ascii="Arial Narrow" w:hAnsi="Arial Narrow"/>
                <w:sz w:val="22"/>
              </w:rPr>
              <w:t>e der vorangegangenen Verfahre</w:t>
            </w:r>
            <w:r w:rsidR="00BE3979" w:rsidRPr="00923312">
              <w:rPr>
                <w:rFonts w:ascii="Arial Narrow" w:hAnsi="Arial Narrow"/>
                <w:sz w:val="22"/>
              </w:rPr>
              <w:t>n</w:t>
            </w:r>
            <w:r w:rsidRPr="00923312">
              <w:rPr>
                <w:rFonts w:ascii="Arial Narrow" w:hAnsi="Arial Narrow"/>
                <w:sz w:val="22"/>
              </w:rPr>
              <w:t>s</w:t>
            </w:r>
            <w:r w:rsidR="006C656D" w:rsidRPr="00923312">
              <w:rPr>
                <w:rFonts w:ascii="Arial Narrow" w:hAnsi="Arial Narrow"/>
                <w:sz w:val="22"/>
              </w:rPr>
              <w:t xml:space="preserve">nummer </w:t>
            </w:r>
            <w:r w:rsidRPr="00923312">
              <w:rPr>
                <w:rFonts w:ascii="Arial Narrow" w:hAnsi="Arial Narrow"/>
                <w:sz w:val="22"/>
              </w:rPr>
              <w:t xml:space="preserve">ist </w:t>
            </w:r>
            <w:r w:rsidR="006C656D" w:rsidRPr="00923312">
              <w:rPr>
                <w:rFonts w:ascii="Arial Narrow" w:hAnsi="Arial Narrow"/>
                <w:sz w:val="22"/>
              </w:rPr>
              <w:t xml:space="preserve">Pflicht, </w:t>
            </w:r>
            <w:r w:rsidRPr="00923312">
              <w:rPr>
                <w:rFonts w:ascii="Arial Narrow" w:hAnsi="Arial Narrow"/>
                <w:sz w:val="22"/>
              </w:rPr>
              <w:t xml:space="preserve">diese </w:t>
            </w:r>
            <w:r w:rsidR="006C656D" w:rsidRPr="00923312">
              <w:rPr>
                <w:rFonts w:ascii="Arial Narrow" w:hAnsi="Arial Narrow"/>
                <w:sz w:val="22"/>
              </w:rPr>
              <w:t>wird im Formular durch Suchfunktion unterstützt</w:t>
            </w:r>
            <w:r w:rsidRPr="00923312">
              <w:rPr>
                <w:rFonts w:ascii="Arial Narrow" w:hAnsi="Arial Narrow"/>
                <w:sz w:val="22"/>
              </w:rPr>
              <w:t>]</w:t>
            </w:r>
          </w:p>
        </w:tc>
      </w:tr>
    </w:tbl>
    <w:p w14:paraId="53DF57CA" w14:textId="77777777" w:rsidR="00492AB4" w:rsidRPr="00923312" w:rsidRDefault="00492AB4"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23312" w:rsidRPr="00923312" w14:paraId="0823808B" w14:textId="77777777">
        <w:tc>
          <w:tcPr>
            <w:tcW w:w="9212" w:type="dxa"/>
          </w:tcPr>
          <w:p w14:paraId="3A37C23D" w14:textId="6AFD43C7" w:rsidR="008E6675" w:rsidRPr="00923312" w:rsidRDefault="008E6675" w:rsidP="005638EB">
            <w:pPr>
              <w:rPr>
                <w:rFonts w:ascii="Arial Narrow" w:hAnsi="Arial Narrow"/>
                <w:b/>
              </w:rPr>
            </w:pPr>
            <w:r w:rsidRPr="00923312">
              <w:rPr>
                <w:rFonts w:ascii="Arial Narrow" w:hAnsi="Arial Narrow"/>
                <w:b/>
                <w:sz w:val="22"/>
              </w:rPr>
              <w:t>Beschreibung der neuen Methode</w:t>
            </w:r>
          </w:p>
        </w:tc>
      </w:tr>
      <w:tr w:rsidR="00923312" w:rsidRPr="00923312" w14:paraId="5696BA9D" w14:textId="77777777">
        <w:tc>
          <w:tcPr>
            <w:tcW w:w="9212" w:type="dxa"/>
          </w:tcPr>
          <w:p w14:paraId="1E527B81" w14:textId="710DA01D" w:rsidR="002B589F" w:rsidRPr="00923312" w:rsidRDefault="002B589F" w:rsidP="003214AB">
            <w:pPr>
              <w:rPr>
                <w:rFonts w:ascii="Arial Narrow" w:hAnsi="Arial Narrow"/>
                <w:sz w:val="22"/>
              </w:rPr>
            </w:pPr>
            <w:r w:rsidRPr="00923312">
              <w:rPr>
                <w:rFonts w:ascii="Arial Narrow" w:hAnsi="Arial Narrow"/>
                <w:sz w:val="22"/>
              </w:rPr>
              <w:t>Wirkweise:</w:t>
            </w:r>
          </w:p>
          <w:p w14:paraId="7B5FDF7E" w14:textId="0DA56CFA" w:rsidR="003214AB" w:rsidRPr="003214AB" w:rsidRDefault="003214AB" w:rsidP="003214AB">
            <w:pPr>
              <w:rPr>
                <w:rFonts w:ascii="Arial Narrow" w:hAnsi="Arial Narrow"/>
                <w:sz w:val="22"/>
              </w:rPr>
            </w:pPr>
            <w:r w:rsidRPr="003214AB">
              <w:rPr>
                <w:rFonts w:ascii="Arial Narrow" w:hAnsi="Arial Narrow"/>
                <w:sz w:val="22"/>
              </w:rPr>
              <w:t>Sipavibart</w:t>
            </w:r>
            <w:r w:rsidRPr="003214AB">
              <w:rPr>
                <w:rFonts w:ascii="Arial Narrow" w:hAnsi="Arial Narrow"/>
                <w:sz w:val="22"/>
                <w:lang w:bidi="de-DE"/>
              </w:rPr>
              <w:t xml:space="preserve"> ist ein neuer, langwirksamer, neutralisierender, monoklonaler Antikörper, der an ein Epitop auf der RBD des SARS-CoV-2-Spikeproteins bindet, der hochkonserviert ist.</w:t>
            </w:r>
          </w:p>
          <w:p w14:paraId="280DEFB1" w14:textId="77777777" w:rsidR="003214AB" w:rsidRPr="00923312" w:rsidRDefault="003214AB" w:rsidP="003214AB">
            <w:pPr>
              <w:rPr>
                <w:rFonts w:ascii="Arial Narrow" w:hAnsi="Arial Narrow"/>
                <w:sz w:val="22"/>
                <w:lang w:bidi="de-DE"/>
              </w:rPr>
            </w:pPr>
            <w:r w:rsidRPr="003214AB">
              <w:rPr>
                <w:rFonts w:ascii="Arial Narrow" w:hAnsi="Arial Narrow"/>
                <w:sz w:val="22"/>
              </w:rPr>
              <w:t>Sipavibart</w:t>
            </w:r>
            <w:r w:rsidRPr="003214AB">
              <w:rPr>
                <w:rFonts w:ascii="Arial Narrow" w:hAnsi="Arial Narrow"/>
                <w:sz w:val="22"/>
                <w:lang w:bidi="de-DE"/>
              </w:rPr>
              <w:t xml:space="preserve"> und Tixagevimab/Cilgavimab (Evusheld) wurden mit der gleichen Technologie zur Halbwertszeitverlängerung optimiert und reduzieren die Fc-Effektorfunktion und Komplement-C1q-Bindung. Es wird erwartet, dass </w:t>
            </w:r>
            <w:r w:rsidRPr="003214AB">
              <w:rPr>
                <w:rFonts w:ascii="Arial Narrow" w:hAnsi="Arial Narrow"/>
                <w:sz w:val="22"/>
              </w:rPr>
              <w:t>Sipavibart</w:t>
            </w:r>
            <w:r w:rsidRPr="003214AB">
              <w:rPr>
                <w:rFonts w:ascii="Arial Narrow" w:hAnsi="Arial Narrow"/>
                <w:sz w:val="22"/>
                <w:lang w:bidi="de-DE"/>
              </w:rPr>
              <w:t xml:space="preserve"> ähnliche Sicherheits- und Pharmakokinetikprofile aufweist wie Tixagevimab/Cilgavimab (Evusheld).</w:t>
            </w:r>
          </w:p>
          <w:p w14:paraId="33D7B92C" w14:textId="77777777" w:rsidR="002B589F" w:rsidRPr="00923312" w:rsidRDefault="002B589F" w:rsidP="003214AB">
            <w:pPr>
              <w:rPr>
                <w:rFonts w:ascii="Arial Narrow" w:hAnsi="Arial Narrow"/>
                <w:sz w:val="22"/>
                <w:lang w:bidi="de-DE"/>
              </w:rPr>
            </w:pPr>
          </w:p>
          <w:p w14:paraId="52A46213" w14:textId="35E4A350" w:rsidR="002B589F" w:rsidRPr="00923312" w:rsidRDefault="002B589F" w:rsidP="003214AB">
            <w:pPr>
              <w:rPr>
                <w:rFonts w:ascii="Arial Narrow" w:hAnsi="Arial Narrow"/>
                <w:sz w:val="22"/>
                <w:lang w:bidi="de-DE"/>
              </w:rPr>
            </w:pPr>
            <w:r w:rsidRPr="00923312">
              <w:rPr>
                <w:rFonts w:ascii="Arial Narrow" w:hAnsi="Arial Narrow"/>
                <w:sz w:val="22"/>
                <w:lang w:bidi="de-DE"/>
              </w:rPr>
              <w:t>Evidenzlage:</w:t>
            </w:r>
          </w:p>
          <w:p w14:paraId="7C251A0A" w14:textId="75006D07" w:rsidR="002B589F" w:rsidRPr="00923312" w:rsidRDefault="002B589F" w:rsidP="002B589F">
            <w:pPr>
              <w:rPr>
                <w:rFonts w:ascii="Arial Narrow" w:hAnsi="Arial Narrow"/>
                <w:sz w:val="22"/>
              </w:rPr>
            </w:pPr>
            <w:r w:rsidRPr="002B589F">
              <w:rPr>
                <w:rFonts w:ascii="Arial Narrow" w:hAnsi="Arial Narrow"/>
                <w:sz w:val="22"/>
              </w:rPr>
              <w:t>SUPERNOVA ist die einzige</w:t>
            </w:r>
            <w:r w:rsidR="00C32E3B" w:rsidRPr="00923312">
              <w:rPr>
                <w:rFonts w:ascii="Arial Narrow" w:hAnsi="Arial Narrow"/>
                <w:sz w:val="22"/>
              </w:rPr>
              <w:t xml:space="preserve"> randomisierte</w:t>
            </w:r>
            <w:r w:rsidRPr="002B589F">
              <w:rPr>
                <w:rFonts w:ascii="Arial Narrow" w:hAnsi="Arial Narrow"/>
                <w:sz w:val="22"/>
              </w:rPr>
              <w:t xml:space="preserve"> Phase-III-Studie, die Wirksamkeitsdaten für die COVID-19-</w:t>
            </w:r>
            <w:r w:rsidRPr="00923312">
              <w:rPr>
                <w:rFonts w:ascii="Arial Narrow" w:hAnsi="Arial Narrow"/>
                <w:sz w:val="22"/>
              </w:rPr>
              <w:t>P</w:t>
            </w:r>
            <w:r w:rsidRPr="002B589F">
              <w:rPr>
                <w:rFonts w:ascii="Arial Narrow" w:hAnsi="Arial Narrow"/>
                <w:sz w:val="22"/>
              </w:rPr>
              <w:t>räexpositionsprophylaxe ausschließlich bei immungeschwächten Patienten liefert.</w:t>
            </w:r>
            <w:r w:rsidRPr="00923312">
              <w:rPr>
                <w:rFonts w:ascii="Arial Narrow" w:hAnsi="Arial Narrow"/>
                <w:sz w:val="22"/>
              </w:rPr>
              <w:t xml:space="preserve"> Die Studie zeigt positive Ergebnisse im Bezug auf die Sicherheit und Wirksamkeit von Sipavibart bei der Prävention von symptomatischem COVID-19 bei immungeschwächten Patienten im Vergleich zur Kontrollgruppe. Weitere positive Ergebnisse aus SUPERNOVA zeigten, dass Sipavibart in einer immungeschwächten Patientenpopulation eine statistisch signifikante Reduktion der Inzidenz von symptomatischem COVID-19 im Vergleich zur Kontrollgruppe (Tixagevimab/Cilgavimab oder Placebo) aufwies.</w:t>
            </w:r>
          </w:p>
          <w:p w14:paraId="78E9FF20" w14:textId="77777777" w:rsidR="003214AB" w:rsidRPr="003214AB" w:rsidRDefault="003214AB" w:rsidP="003214AB">
            <w:pPr>
              <w:rPr>
                <w:rFonts w:ascii="Arial Narrow" w:hAnsi="Arial Narrow"/>
                <w:sz w:val="22"/>
                <w:lang w:bidi="de-DE"/>
              </w:rPr>
            </w:pPr>
          </w:p>
          <w:p w14:paraId="43ED6383" w14:textId="77777777" w:rsidR="003214AB" w:rsidRPr="003214AB" w:rsidRDefault="003214AB" w:rsidP="003214AB">
            <w:pPr>
              <w:rPr>
                <w:rFonts w:ascii="Arial Narrow" w:hAnsi="Arial Narrow"/>
                <w:sz w:val="22"/>
              </w:rPr>
            </w:pPr>
            <w:r w:rsidRPr="003214AB">
              <w:rPr>
                <w:rFonts w:ascii="Arial Narrow" w:hAnsi="Arial Narrow"/>
                <w:sz w:val="22"/>
              </w:rPr>
              <w:t>Quellen:</w:t>
            </w:r>
          </w:p>
          <w:p w14:paraId="3194CC70" w14:textId="023154B1" w:rsidR="00DB14F4" w:rsidRPr="00923312" w:rsidRDefault="003214AB" w:rsidP="002B589F">
            <w:pPr>
              <w:pStyle w:val="Listenabsatz"/>
              <w:numPr>
                <w:ilvl w:val="0"/>
                <w:numId w:val="13"/>
              </w:numPr>
              <w:rPr>
                <w:rFonts w:ascii="Arial Narrow" w:hAnsi="Arial Narrow"/>
                <w:sz w:val="22"/>
                <w:lang w:val="en-US"/>
              </w:rPr>
            </w:pPr>
            <w:r w:rsidRPr="00923312">
              <w:rPr>
                <w:rFonts w:ascii="Arial Narrow" w:hAnsi="Arial Narrow"/>
                <w:sz w:val="22"/>
                <w:lang w:val="en-US"/>
              </w:rPr>
              <w:t>Francica JR, Cai Y, Diallo S, et al. The SARS-CoV-2 monoclonal antibody SIPAVIBART potently neutralizes historical and currently circulating variants [poster]. Presented at: ECCMID; April 15-18, 2023; Copenhagen, Denmark.</w:t>
            </w:r>
          </w:p>
          <w:p w14:paraId="29CA408D" w14:textId="77777777" w:rsidR="002B589F" w:rsidRPr="002B589F" w:rsidRDefault="002B589F" w:rsidP="002B589F">
            <w:pPr>
              <w:numPr>
                <w:ilvl w:val="0"/>
                <w:numId w:val="13"/>
              </w:numPr>
              <w:rPr>
                <w:rFonts w:ascii="Arial Narrow" w:hAnsi="Arial Narrow"/>
                <w:lang w:val="en-US"/>
              </w:rPr>
            </w:pPr>
            <w:hyperlink r:id="rId7" w:history="1">
              <w:r w:rsidRPr="002B589F">
                <w:rPr>
                  <w:rStyle w:val="Hyperlink"/>
                  <w:rFonts w:ascii="Arial Narrow" w:hAnsi="Arial Narrow"/>
                  <w:color w:val="auto"/>
                  <w:lang w:val="en-US"/>
                </w:rPr>
                <w:t>https://www.astrazeneca.com/media-centre/press-releases/2024/sipavibart-ema-regulatory-submission-accepted-under-accelerated-assessment-for-covid-19-prevention.html</w:t>
              </w:r>
            </w:hyperlink>
          </w:p>
          <w:p w14:paraId="4F1B1A78" w14:textId="77777777" w:rsidR="002B589F" w:rsidRPr="002B589F" w:rsidRDefault="002B589F" w:rsidP="002B589F">
            <w:pPr>
              <w:numPr>
                <w:ilvl w:val="0"/>
                <w:numId w:val="13"/>
              </w:numPr>
              <w:rPr>
                <w:rFonts w:ascii="Arial Narrow" w:hAnsi="Arial Narrow"/>
                <w:lang w:val="en-US"/>
              </w:rPr>
            </w:pPr>
            <w:r w:rsidRPr="002B589F">
              <w:rPr>
                <w:rFonts w:ascii="Arial Narrow" w:hAnsi="Arial Narrow"/>
                <w:lang w:val="en-US"/>
              </w:rPr>
              <w:t xml:space="preserve">AstraZeneca. (16 May 2024). SUPERNOVA Phase III trial of sipavibart long-acting antibody met primary endpoints in preventing COVID-19 in immunocompromised patient population </w:t>
            </w:r>
            <w:r w:rsidRPr="002B589F">
              <w:rPr>
                <w:rFonts w:ascii="Arial Narrow" w:hAnsi="Arial Narrow"/>
                <w:lang w:val="en-US"/>
              </w:rPr>
              <w:lastRenderedPageBreak/>
              <w:t>[Press Release]. Las Accessed June 2024 https://www.astrazeneca.com/media-centre/press-releases/2024/supernova-trial-met-covid-19-prevention-endpoint.html.</w:t>
            </w:r>
          </w:p>
          <w:p w14:paraId="0AF79188" w14:textId="2308E9E3" w:rsidR="002B589F" w:rsidRPr="00923312" w:rsidRDefault="002B589F" w:rsidP="002B589F">
            <w:pPr>
              <w:pStyle w:val="Listenabsatz"/>
              <w:numPr>
                <w:ilvl w:val="0"/>
                <w:numId w:val="13"/>
              </w:numPr>
              <w:rPr>
                <w:rFonts w:ascii="Arial Narrow" w:hAnsi="Arial Narrow"/>
                <w:lang w:val="en-GB"/>
              </w:rPr>
            </w:pPr>
            <w:r w:rsidRPr="00923312">
              <w:rPr>
                <w:rFonts w:ascii="Arial Narrow" w:hAnsi="Arial Narrow"/>
                <w:lang w:val="en-US"/>
              </w:rPr>
              <w:t>https://clinicaltrials.gov/study/NCT05648110?term=AZD3152&amp;rank=3</w:t>
            </w:r>
          </w:p>
        </w:tc>
      </w:tr>
    </w:tbl>
    <w:p w14:paraId="6F81F951" w14:textId="77777777" w:rsidR="008E6675" w:rsidRPr="00923312" w:rsidRDefault="008E6675" w:rsidP="005638EB">
      <w:pPr>
        <w:rPr>
          <w:rFonts w:ascii="Arial Narrow" w:hAnsi="Arial Narrow"/>
          <w:sz w:val="22"/>
          <w:lang w:val="en-G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23312" w:rsidRPr="00923312" w14:paraId="73F33158" w14:textId="77777777">
        <w:tc>
          <w:tcPr>
            <w:tcW w:w="9212" w:type="dxa"/>
          </w:tcPr>
          <w:p w14:paraId="684681EC" w14:textId="7F246CCE" w:rsidR="008E6675" w:rsidRPr="00923312" w:rsidRDefault="008E6675" w:rsidP="005638EB">
            <w:pPr>
              <w:rPr>
                <w:rFonts w:ascii="Arial Narrow" w:hAnsi="Arial Narrow"/>
                <w:b/>
              </w:rPr>
            </w:pPr>
            <w:r w:rsidRPr="00923312">
              <w:rPr>
                <w:rFonts w:ascii="Arial Narrow" w:hAnsi="Arial Narrow"/>
                <w:b/>
                <w:sz w:val="22"/>
              </w:rPr>
              <w:t>Mit welchem OPS wird die Methode verschlüsselt?</w:t>
            </w:r>
          </w:p>
        </w:tc>
      </w:tr>
      <w:tr w:rsidR="00923312" w:rsidRPr="00923312" w14:paraId="5C95386E" w14:textId="77777777">
        <w:tc>
          <w:tcPr>
            <w:tcW w:w="9212" w:type="dxa"/>
          </w:tcPr>
          <w:p w14:paraId="276EB151" w14:textId="558360E1" w:rsidR="00CC7E5F" w:rsidRPr="00923312" w:rsidRDefault="00620855" w:rsidP="00435583">
            <w:pPr>
              <w:rPr>
                <w:rFonts w:ascii="Arial Narrow" w:hAnsi="Arial Narrow"/>
                <w:sz w:val="22"/>
              </w:rPr>
            </w:pPr>
            <w:bookmarkStart w:id="0" w:name="_Hlk83810295"/>
            <w:r w:rsidRPr="00923312">
              <w:rPr>
                <w:rFonts w:ascii="Arial Narrow" w:hAnsi="Arial Narrow"/>
                <w:sz w:val="22"/>
              </w:rPr>
              <w:t>[</w:t>
            </w:r>
            <w:r w:rsidR="00BE3979" w:rsidRPr="00923312">
              <w:rPr>
                <w:rFonts w:ascii="Arial Narrow" w:hAnsi="Arial Narrow"/>
                <w:sz w:val="22"/>
              </w:rPr>
              <w:t xml:space="preserve">Bitte </w:t>
            </w:r>
            <w:r w:rsidR="004C4F82" w:rsidRPr="00923312">
              <w:rPr>
                <w:rFonts w:ascii="Arial Narrow" w:hAnsi="Arial Narrow"/>
                <w:sz w:val="22"/>
              </w:rPr>
              <w:t>ankreuzen</w:t>
            </w:r>
            <w:r w:rsidR="0036325A" w:rsidRPr="00923312">
              <w:rPr>
                <w:rFonts w:ascii="Arial Narrow" w:hAnsi="Arial Narrow"/>
                <w:sz w:val="22"/>
              </w:rPr>
              <w:t xml:space="preserve">: </w:t>
            </w:r>
            <w:r w:rsidR="00DC6CBD" w:rsidRPr="00923312">
              <w:rPr>
                <w:rFonts w:ascii="Arial Narrow" w:hAnsi="Arial Narrow"/>
                <w:sz w:val="22"/>
              </w:rPr>
              <w:t>Derzeit sind keine Prozedurencodes (OPS) verfügbar</w:t>
            </w:r>
            <w:bookmarkEnd w:id="0"/>
            <w:r w:rsidR="00BE3979" w:rsidRPr="00923312">
              <w:rPr>
                <w:rFonts w:ascii="Arial Narrow" w:hAnsi="Arial Narrow"/>
                <w:sz w:val="22"/>
              </w:rPr>
              <w:t>.</w:t>
            </w:r>
            <w:r w:rsidRPr="00923312">
              <w:rPr>
                <w:rFonts w:ascii="Arial Narrow" w:hAnsi="Arial Narrow"/>
                <w:sz w:val="22"/>
              </w:rPr>
              <w:t>]</w:t>
            </w:r>
          </w:p>
        </w:tc>
      </w:tr>
    </w:tbl>
    <w:p w14:paraId="63A2C327" w14:textId="77777777" w:rsidR="00DC6CBD" w:rsidRPr="00923312" w:rsidRDefault="00DC6CBD" w:rsidP="00EE0D0B">
      <w:pPr>
        <w:jc w:val="cente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23312" w:rsidRPr="00923312" w14:paraId="1C363EAC" w14:textId="77777777" w:rsidTr="0036178C">
        <w:tc>
          <w:tcPr>
            <w:tcW w:w="9212" w:type="dxa"/>
          </w:tcPr>
          <w:p w14:paraId="76259E49" w14:textId="0E1E9B3E" w:rsidR="004C4F82" w:rsidRPr="00923312" w:rsidRDefault="002333FF" w:rsidP="0036178C">
            <w:pPr>
              <w:rPr>
                <w:rFonts w:ascii="Arial Narrow" w:hAnsi="Arial Narrow"/>
                <w:b/>
              </w:rPr>
            </w:pPr>
            <w:r w:rsidRPr="00923312">
              <w:rPr>
                <w:rFonts w:ascii="Arial Narrow" w:hAnsi="Arial Narrow"/>
                <w:b/>
                <w:sz w:val="22"/>
              </w:rPr>
              <w:t>Anmerkungen zu den Proz</w:t>
            </w:r>
            <w:r w:rsidR="004C4F82" w:rsidRPr="00923312">
              <w:rPr>
                <w:rFonts w:ascii="Arial Narrow" w:hAnsi="Arial Narrow"/>
                <w:b/>
                <w:sz w:val="22"/>
              </w:rPr>
              <w:t>eduren</w:t>
            </w:r>
          </w:p>
        </w:tc>
      </w:tr>
      <w:tr w:rsidR="00923312" w:rsidRPr="00923312" w14:paraId="131FE40C" w14:textId="77777777" w:rsidTr="0036178C">
        <w:tc>
          <w:tcPr>
            <w:tcW w:w="9212" w:type="dxa"/>
          </w:tcPr>
          <w:p w14:paraId="48201DB1" w14:textId="6C9A8826" w:rsidR="004C4F82" w:rsidRPr="00923312" w:rsidRDefault="004C4F82" w:rsidP="00435583">
            <w:pPr>
              <w:rPr>
                <w:rFonts w:ascii="Arial Narrow" w:hAnsi="Arial Narrow"/>
                <w:sz w:val="22"/>
                <w:szCs w:val="22"/>
              </w:rPr>
            </w:pPr>
          </w:p>
        </w:tc>
      </w:tr>
    </w:tbl>
    <w:p w14:paraId="497C648B" w14:textId="77777777" w:rsidR="004C4F82" w:rsidRPr="00923312" w:rsidRDefault="004C4F82"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23312" w:rsidRPr="00923312" w14:paraId="1C579B85" w14:textId="77777777">
        <w:tc>
          <w:tcPr>
            <w:tcW w:w="9212" w:type="dxa"/>
          </w:tcPr>
          <w:p w14:paraId="442A0D93" w14:textId="77777777" w:rsidR="008E6675" w:rsidRPr="00923312" w:rsidRDefault="008E6675" w:rsidP="005638EB">
            <w:pPr>
              <w:rPr>
                <w:rFonts w:ascii="Arial Narrow" w:hAnsi="Arial Narrow"/>
                <w:b/>
              </w:rPr>
            </w:pPr>
            <w:r w:rsidRPr="00923312">
              <w:rPr>
                <w:rFonts w:ascii="Arial Narrow" w:hAnsi="Arial Narrow"/>
                <w:b/>
                <w:sz w:val="22"/>
              </w:rPr>
              <w:t>Bei welchen Patienten wird die Methode angewandt (Indikation)?</w:t>
            </w:r>
          </w:p>
        </w:tc>
      </w:tr>
      <w:tr w:rsidR="00923312" w:rsidRPr="00923312" w14:paraId="158F0243" w14:textId="77777777">
        <w:tc>
          <w:tcPr>
            <w:tcW w:w="9212" w:type="dxa"/>
          </w:tcPr>
          <w:p w14:paraId="261C37D4" w14:textId="77777777" w:rsidR="003214AB" w:rsidRPr="003214AB" w:rsidRDefault="003214AB" w:rsidP="003214AB">
            <w:pPr>
              <w:rPr>
                <w:rFonts w:ascii="Arial Narrow" w:hAnsi="Arial Narrow"/>
                <w:sz w:val="22"/>
                <w:szCs w:val="22"/>
              </w:rPr>
            </w:pPr>
            <w:r w:rsidRPr="003214AB">
              <w:rPr>
                <w:rFonts w:ascii="Arial Narrow" w:hAnsi="Arial Narrow"/>
                <w:sz w:val="22"/>
                <w:szCs w:val="22"/>
              </w:rPr>
              <w:t>Sipavibart ist indiziert für die Präexpositionsprophylaxe von COVID-19 bei Erwachsenen und Jugendlichen ab 12 Jahren mit einem Gewicht von mindestens 40 kg und:</w:t>
            </w:r>
          </w:p>
          <w:p w14:paraId="23968494" w14:textId="77777777" w:rsidR="003214AB" w:rsidRPr="003214AB" w:rsidRDefault="003214AB" w:rsidP="003214AB">
            <w:pPr>
              <w:numPr>
                <w:ilvl w:val="0"/>
                <w:numId w:val="11"/>
              </w:numPr>
              <w:rPr>
                <w:rFonts w:ascii="Arial Narrow" w:hAnsi="Arial Narrow"/>
                <w:sz w:val="22"/>
                <w:szCs w:val="22"/>
              </w:rPr>
            </w:pPr>
            <w:r w:rsidRPr="003214AB">
              <w:rPr>
                <w:rFonts w:ascii="Arial Narrow" w:hAnsi="Arial Narrow"/>
                <w:sz w:val="22"/>
                <w:szCs w:val="22"/>
              </w:rPr>
              <w:t xml:space="preserve">die aufgrund einer Erkrankung oder der Einnahme immunsuppressiver Medikamente oder Behandlungen immungeschwächt sind oder </w:t>
            </w:r>
          </w:p>
          <w:p w14:paraId="606B75B1" w14:textId="60C1E67D" w:rsidR="008E6675" w:rsidRPr="00923312" w:rsidRDefault="003214AB" w:rsidP="00C11458">
            <w:pPr>
              <w:numPr>
                <w:ilvl w:val="0"/>
                <w:numId w:val="11"/>
              </w:numPr>
              <w:rPr>
                <w:rFonts w:ascii="Arial Narrow" w:hAnsi="Arial Narrow"/>
                <w:sz w:val="22"/>
                <w:szCs w:val="22"/>
              </w:rPr>
            </w:pPr>
            <w:r w:rsidRPr="003214AB">
              <w:rPr>
                <w:rFonts w:ascii="Arial Narrow" w:hAnsi="Arial Narrow"/>
                <w:sz w:val="22"/>
                <w:szCs w:val="22"/>
              </w:rPr>
              <w:t>für die eine COVID-19-Impfung nicht empfohlen wird.</w:t>
            </w:r>
          </w:p>
        </w:tc>
      </w:tr>
    </w:tbl>
    <w:p w14:paraId="2A567A97" w14:textId="77777777" w:rsidR="008E6675" w:rsidRPr="00923312"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23312" w:rsidRPr="00923312" w14:paraId="544A3AED" w14:textId="77777777">
        <w:trPr>
          <w:trHeight w:val="234"/>
        </w:trPr>
        <w:tc>
          <w:tcPr>
            <w:tcW w:w="9212" w:type="dxa"/>
          </w:tcPr>
          <w:p w14:paraId="52A9B9D0" w14:textId="77777777" w:rsidR="008E6675" w:rsidRPr="00923312" w:rsidRDefault="008E6675" w:rsidP="005638EB">
            <w:pPr>
              <w:rPr>
                <w:rFonts w:ascii="Arial Narrow" w:hAnsi="Arial Narrow"/>
                <w:b/>
              </w:rPr>
            </w:pPr>
            <w:r w:rsidRPr="00923312">
              <w:rPr>
                <w:rFonts w:ascii="Arial Narrow" w:hAnsi="Arial Narrow"/>
                <w:b/>
                <w:sz w:val="22"/>
              </w:rPr>
              <w:t>Welche bestehende Methode wird durch die neue Methode abgelöst oder ergänzt?</w:t>
            </w:r>
          </w:p>
        </w:tc>
      </w:tr>
      <w:tr w:rsidR="00923312" w:rsidRPr="00923312" w14:paraId="6B0057FA" w14:textId="77777777">
        <w:tc>
          <w:tcPr>
            <w:tcW w:w="9212" w:type="dxa"/>
          </w:tcPr>
          <w:p w14:paraId="6DA7A546" w14:textId="77777777" w:rsidR="003214AB" w:rsidRPr="003214AB" w:rsidRDefault="003214AB" w:rsidP="003214AB">
            <w:pPr>
              <w:rPr>
                <w:rFonts w:ascii="Arial Narrow" w:hAnsi="Arial Narrow"/>
                <w:sz w:val="22"/>
                <w:szCs w:val="22"/>
              </w:rPr>
            </w:pPr>
            <w:r w:rsidRPr="003214AB">
              <w:rPr>
                <w:rFonts w:ascii="Arial Narrow" w:hAnsi="Arial Narrow"/>
                <w:sz w:val="22"/>
                <w:szCs w:val="22"/>
              </w:rPr>
              <w:t xml:space="preserve">Die SARS-COV-2-Landschaft ist sehr dynamisch und es entstehen zunehmend Virusvarianten, die resistent gegenüber vielen aktuell verfügbaren, neutralisierenden monoklonalen Antikörper sind. </w:t>
            </w:r>
          </w:p>
          <w:p w14:paraId="537C53F5" w14:textId="77777777" w:rsidR="003214AB" w:rsidRPr="00923312" w:rsidRDefault="003214AB" w:rsidP="003214AB">
            <w:pPr>
              <w:rPr>
                <w:rFonts w:ascii="Arial Narrow" w:hAnsi="Arial Narrow"/>
                <w:sz w:val="22"/>
                <w:szCs w:val="22"/>
                <w:lang w:bidi="de-DE"/>
              </w:rPr>
            </w:pPr>
            <w:r w:rsidRPr="003214AB">
              <w:rPr>
                <w:rFonts w:ascii="Arial Narrow" w:hAnsi="Arial Narrow"/>
                <w:sz w:val="22"/>
                <w:szCs w:val="22"/>
              </w:rPr>
              <w:t xml:space="preserve">Evusheld, die Kombination Tixagevimab/Cilgavimab, die bereits zur Präexpositionsprophylaxe von COVID-19 zugelassen ist, zeigt gegen die aktuell zirkulierenden Varianten eine deutlich reduzierte Wirksamkeit. Somit können Risikopatienten nicht sicher zusätzlich geschützt werden. Sipavibart ist eine zusätzliche Option, Risikopatienten vor einer symptomatischen oder schweren COVID-19 Erkrankung zu schützen. </w:t>
            </w:r>
            <w:r w:rsidRPr="003214AB">
              <w:rPr>
                <w:rFonts w:ascii="Arial Narrow" w:hAnsi="Arial Narrow"/>
                <w:sz w:val="22"/>
                <w:szCs w:val="22"/>
                <w:lang w:bidi="de-DE"/>
              </w:rPr>
              <w:t xml:space="preserve">Es wird erwartet, dass </w:t>
            </w:r>
            <w:r w:rsidRPr="003214AB">
              <w:rPr>
                <w:rFonts w:ascii="Arial Narrow" w:hAnsi="Arial Narrow"/>
                <w:sz w:val="22"/>
                <w:szCs w:val="22"/>
              </w:rPr>
              <w:t>Sipavibart</w:t>
            </w:r>
            <w:r w:rsidRPr="003214AB">
              <w:rPr>
                <w:rFonts w:ascii="Arial Narrow" w:hAnsi="Arial Narrow"/>
                <w:sz w:val="22"/>
                <w:szCs w:val="22"/>
                <w:lang w:bidi="de-DE"/>
              </w:rPr>
              <w:t xml:space="preserve"> ähnliche Sicherheits- und Pharmakokinetikprofile aufweist wie Tixagevimab/Cilgavimab (Evusheld).</w:t>
            </w:r>
          </w:p>
          <w:p w14:paraId="2686CC8D" w14:textId="77777777" w:rsidR="003214AB" w:rsidRPr="003214AB" w:rsidRDefault="003214AB" w:rsidP="003214AB">
            <w:pPr>
              <w:rPr>
                <w:rFonts w:ascii="Arial Narrow" w:hAnsi="Arial Narrow"/>
                <w:sz w:val="22"/>
                <w:szCs w:val="22"/>
              </w:rPr>
            </w:pPr>
          </w:p>
          <w:p w14:paraId="63ADBCA3" w14:textId="77777777" w:rsidR="003214AB" w:rsidRPr="003214AB" w:rsidRDefault="003214AB" w:rsidP="003214AB">
            <w:pPr>
              <w:rPr>
                <w:rFonts w:ascii="Arial Narrow" w:hAnsi="Arial Narrow"/>
                <w:sz w:val="22"/>
                <w:szCs w:val="22"/>
              </w:rPr>
            </w:pPr>
            <w:r w:rsidRPr="003214AB">
              <w:rPr>
                <w:rFonts w:ascii="Arial Narrow" w:hAnsi="Arial Narrow"/>
                <w:sz w:val="22"/>
                <w:szCs w:val="22"/>
              </w:rPr>
              <w:t>Quellen:</w:t>
            </w:r>
          </w:p>
          <w:p w14:paraId="1B2AA2DE" w14:textId="77777777" w:rsidR="003214AB" w:rsidRPr="003214AB" w:rsidRDefault="003214AB" w:rsidP="003214AB">
            <w:pPr>
              <w:numPr>
                <w:ilvl w:val="0"/>
                <w:numId w:val="12"/>
              </w:numPr>
              <w:rPr>
                <w:rFonts w:ascii="Arial Narrow" w:hAnsi="Arial Narrow"/>
                <w:sz w:val="22"/>
                <w:szCs w:val="22"/>
                <w:lang w:val="en-US"/>
              </w:rPr>
            </w:pPr>
            <w:r w:rsidRPr="003214AB">
              <w:rPr>
                <w:rFonts w:ascii="Arial Narrow" w:hAnsi="Arial Narrow"/>
                <w:sz w:val="22"/>
                <w:szCs w:val="22"/>
                <w:lang w:val="en-US"/>
              </w:rPr>
              <w:t>Francica JR, Cai Y, Diallo S, et al. The SARS-CoV-2 monoclonal antibody SIPAVIBART potently neutralizes historical and currently circulating variants [poster]. Presented at: ECCMID; April 15-18, 2023; Copenhagen, Denmark.</w:t>
            </w:r>
          </w:p>
          <w:p w14:paraId="3EC3722F" w14:textId="4B383CB1" w:rsidR="008E6675" w:rsidRPr="00923312" w:rsidRDefault="003214AB" w:rsidP="003214AB">
            <w:pPr>
              <w:pStyle w:val="Listenabsatz"/>
              <w:numPr>
                <w:ilvl w:val="0"/>
                <w:numId w:val="12"/>
              </w:numPr>
              <w:rPr>
                <w:rFonts w:ascii="Arial Narrow" w:hAnsi="Arial Narrow"/>
                <w:sz w:val="22"/>
                <w:szCs w:val="22"/>
              </w:rPr>
            </w:pPr>
            <w:r w:rsidRPr="00923312">
              <w:rPr>
                <w:rFonts w:ascii="Arial Narrow" w:hAnsi="Arial Narrow"/>
                <w:sz w:val="22"/>
                <w:szCs w:val="22"/>
              </w:rPr>
              <w:t>Hoffmann, M., Arora, P., Nehlmeier, I. </w:t>
            </w:r>
            <w:r w:rsidRPr="00923312">
              <w:rPr>
                <w:rFonts w:ascii="Arial Narrow" w:hAnsi="Arial Narrow"/>
                <w:i/>
                <w:iCs/>
                <w:sz w:val="22"/>
                <w:szCs w:val="22"/>
              </w:rPr>
              <w:t>et al.</w:t>
            </w:r>
            <w:r w:rsidRPr="00923312">
              <w:rPr>
                <w:rFonts w:ascii="Arial Narrow" w:hAnsi="Arial Narrow"/>
                <w:sz w:val="22"/>
                <w:szCs w:val="22"/>
              </w:rPr>
              <w:t> </w:t>
            </w:r>
            <w:r w:rsidRPr="00923312">
              <w:rPr>
                <w:rFonts w:ascii="Arial Narrow" w:hAnsi="Arial Narrow"/>
                <w:sz w:val="22"/>
                <w:szCs w:val="22"/>
                <w:lang w:val="en-US"/>
              </w:rPr>
              <w:t>Profound neutralization evasion and augmented host cell entry are hallmarks of the fast-spreading SARS-CoV-2 lineage XBB.1.5. </w:t>
            </w:r>
            <w:r w:rsidRPr="00923312">
              <w:rPr>
                <w:rFonts w:ascii="Arial Narrow" w:hAnsi="Arial Narrow"/>
                <w:i/>
                <w:iCs/>
                <w:sz w:val="22"/>
                <w:szCs w:val="22"/>
                <w:lang w:val="en-US"/>
              </w:rPr>
              <w:t>Cell Mol Immunol</w:t>
            </w:r>
            <w:r w:rsidRPr="00923312">
              <w:rPr>
                <w:rFonts w:ascii="Arial Narrow" w:hAnsi="Arial Narrow"/>
                <w:sz w:val="22"/>
                <w:szCs w:val="22"/>
                <w:lang w:val="en-US"/>
              </w:rPr>
              <w:t> </w:t>
            </w:r>
            <w:r w:rsidRPr="00923312">
              <w:rPr>
                <w:rFonts w:ascii="Arial Narrow" w:hAnsi="Arial Narrow"/>
                <w:b/>
                <w:bCs/>
                <w:sz w:val="22"/>
                <w:szCs w:val="22"/>
                <w:lang w:val="en-US"/>
              </w:rPr>
              <w:t>20</w:t>
            </w:r>
            <w:r w:rsidRPr="00923312">
              <w:rPr>
                <w:rFonts w:ascii="Arial Narrow" w:hAnsi="Arial Narrow"/>
                <w:sz w:val="22"/>
                <w:szCs w:val="22"/>
                <w:lang w:val="en-US"/>
              </w:rPr>
              <w:t>, 419–422 (2023). https://doi.org/10.1038/s41423-023-00988-0</w:t>
            </w:r>
          </w:p>
        </w:tc>
      </w:tr>
    </w:tbl>
    <w:p w14:paraId="073C0909" w14:textId="77777777" w:rsidR="008E6675" w:rsidRPr="00923312"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23312" w:rsidRPr="00923312" w14:paraId="3CC85E94" w14:textId="77777777">
        <w:tc>
          <w:tcPr>
            <w:tcW w:w="9212" w:type="dxa"/>
          </w:tcPr>
          <w:p w14:paraId="25335173" w14:textId="77777777" w:rsidR="008E6675" w:rsidRPr="00923312" w:rsidRDefault="008E6675" w:rsidP="00E92C57">
            <w:pPr>
              <w:rPr>
                <w:rFonts w:ascii="Arial Narrow" w:hAnsi="Arial Narrow"/>
                <w:b/>
              </w:rPr>
            </w:pPr>
            <w:r w:rsidRPr="00923312">
              <w:rPr>
                <w:rFonts w:ascii="Arial Narrow" w:hAnsi="Arial Narrow"/>
                <w:b/>
                <w:sz w:val="22"/>
              </w:rPr>
              <w:t>Ist die Methode vollständig oder in Teilen neu und warum handelt es sich um eine neue Untersuchungs- und Behandlungsmethode?</w:t>
            </w:r>
          </w:p>
        </w:tc>
      </w:tr>
      <w:tr w:rsidR="00923312" w:rsidRPr="00923312" w14:paraId="402C1327" w14:textId="77777777">
        <w:tc>
          <w:tcPr>
            <w:tcW w:w="9212" w:type="dxa"/>
          </w:tcPr>
          <w:p w14:paraId="6B1FDB47" w14:textId="0BFDF531" w:rsidR="008E6675" w:rsidRPr="00923312" w:rsidRDefault="005D1992" w:rsidP="00C11458">
            <w:pPr>
              <w:rPr>
                <w:rFonts w:ascii="Arial Narrow" w:hAnsi="Arial Narrow"/>
                <w:sz w:val="22"/>
                <w:szCs w:val="22"/>
              </w:rPr>
            </w:pPr>
            <w:r w:rsidRPr="00923312">
              <w:rPr>
                <w:rFonts w:ascii="Arial Narrow" w:hAnsi="Arial Narrow"/>
                <w:sz w:val="22"/>
                <w:szCs w:val="22"/>
              </w:rPr>
              <w:t xml:space="preserve">Es handelt sich um ein neues Medikament, das </w:t>
            </w:r>
            <w:r w:rsidR="003214AB" w:rsidRPr="00923312">
              <w:rPr>
                <w:rFonts w:ascii="Arial Narrow" w:hAnsi="Arial Narrow"/>
                <w:sz w:val="22"/>
                <w:szCs w:val="22"/>
              </w:rPr>
              <w:t>voraussichtlich erst im Dezember 2024</w:t>
            </w:r>
            <w:r w:rsidRPr="00923312">
              <w:rPr>
                <w:rFonts w:ascii="Arial Narrow" w:hAnsi="Arial Narrow"/>
                <w:sz w:val="22"/>
                <w:szCs w:val="22"/>
              </w:rPr>
              <w:t xml:space="preserve"> in Europa zugelassen w</w:t>
            </w:r>
            <w:r w:rsidR="003214AB" w:rsidRPr="00923312">
              <w:rPr>
                <w:rFonts w:ascii="Arial Narrow" w:hAnsi="Arial Narrow"/>
                <w:sz w:val="22"/>
                <w:szCs w:val="22"/>
              </w:rPr>
              <w:t>ir</w:t>
            </w:r>
            <w:r w:rsidRPr="00923312">
              <w:rPr>
                <w:rFonts w:ascii="Arial Narrow" w:hAnsi="Arial Narrow"/>
                <w:sz w:val="22"/>
                <w:szCs w:val="22"/>
              </w:rPr>
              <w:t xml:space="preserve">d. </w:t>
            </w:r>
            <w:bookmarkStart w:id="1" w:name="_Hlk114235937"/>
            <w:r w:rsidR="003214AB" w:rsidRPr="00923312">
              <w:rPr>
                <w:rFonts w:ascii="Arial Narrow" w:hAnsi="Arial Narrow"/>
                <w:sz w:val="22"/>
                <w:szCs w:val="22"/>
              </w:rPr>
              <w:t>Vor der COVID-19-Pandemie war das Prinzip der Präexpositionsprohylaxe in Deutschland nur im HIV-Bereich bekannt</w:t>
            </w:r>
            <w:bookmarkEnd w:id="1"/>
            <w:r w:rsidR="003214AB" w:rsidRPr="00923312">
              <w:rPr>
                <w:rFonts w:ascii="Arial Narrow" w:hAnsi="Arial Narrow"/>
                <w:sz w:val="22"/>
                <w:szCs w:val="22"/>
              </w:rPr>
              <w:t>. Die Präexpositionsprophylaxe einer COVID-19-Erkrankung ist somit eine neuartige Behandlungsmethode. Sipavibart soll als weitere Option die Antikörperkombination Tixagevimab/Cilgavimab (Evusheld) ergänzen, die bereits für die Präexpositionsprophylaxe von COVID-19 zugelassen ist.</w:t>
            </w:r>
          </w:p>
        </w:tc>
      </w:tr>
    </w:tbl>
    <w:p w14:paraId="75E7896B" w14:textId="77777777" w:rsidR="008E6675" w:rsidRPr="00923312"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23312" w:rsidRPr="00923312" w14:paraId="7DEA2055" w14:textId="77777777">
        <w:tc>
          <w:tcPr>
            <w:tcW w:w="9212" w:type="dxa"/>
          </w:tcPr>
          <w:p w14:paraId="4E8FCE4C" w14:textId="77777777" w:rsidR="008E6675" w:rsidRPr="00923312" w:rsidRDefault="008E6675" w:rsidP="005638EB">
            <w:pPr>
              <w:rPr>
                <w:rFonts w:ascii="Arial Narrow" w:hAnsi="Arial Narrow"/>
                <w:b/>
              </w:rPr>
            </w:pPr>
            <w:r w:rsidRPr="00923312">
              <w:rPr>
                <w:rFonts w:ascii="Arial Narrow" w:hAnsi="Arial Narrow"/>
                <w:b/>
                <w:sz w:val="22"/>
              </w:rPr>
              <w:t>Welche Auswirkungen hat die Methode auf die Verweildauer im Krankenhaus?</w:t>
            </w:r>
          </w:p>
        </w:tc>
      </w:tr>
      <w:tr w:rsidR="00923312" w:rsidRPr="00923312" w14:paraId="5C15DE82" w14:textId="77777777">
        <w:trPr>
          <w:trHeight w:val="264"/>
        </w:trPr>
        <w:tc>
          <w:tcPr>
            <w:tcW w:w="9212" w:type="dxa"/>
          </w:tcPr>
          <w:p w14:paraId="0E31CFC4" w14:textId="0B4F8F77" w:rsidR="004B25EA" w:rsidRPr="004B25EA" w:rsidRDefault="004B25EA" w:rsidP="004B25EA">
            <w:pPr>
              <w:rPr>
                <w:rFonts w:ascii="Arial Narrow" w:hAnsi="Arial Narrow"/>
                <w:sz w:val="22"/>
              </w:rPr>
            </w:pPr>
            <w:r w:rsidRPr="004B25EA">
              <w:rPr>
                <w:rFonts w:ascii="Arial Narrow" w:hAnsi="Arial Narrow"/>
                <w:sz w:val="22"/>
              </w:rPr>
              <w:t xml:space="preserve">Vollständig geimpfte, immungeschwächte Menschen machen einen großen Anteil der hospitalisierten Durchbruchsfälle aus. Ca. 0.2% - 40% der Durchbruchsinfektionen sind auf immungeschwächte Patienten zurückzuführen und ca. 17%-60% werden hospitalisiert. Diese Patienten haben gleichzeitig ein erhöhtes Risiko </w:t>
            </w:r>
            <w:r w:rsidRPr="004B25EA">
              <w:rPr>
                <w:rFonts w:ascii="Arial Narrow" w:hAnsi="Arial Narrow"/>
                <w:sz w:val="22"/>
              </w:rPr>
              <w:lastRenderedPageBreak/>
              <w:t>für eine schweren COVID-19 Verlauf.</w:t>
            </w:r>
            <w:r w:rsidRPr="00923312">
              <w:rPr>
                <w:rFonts w:ascii="Arial Narrow" w:hAnsi="Arial Narrow"/>
                <w:sz w:val="22"/>
              </w:rPr>
              <w:t xml:space="preserve"> </w:t>
            </w:r>
            <w:r w:rsidRPr="004B25EA">
              <w:rPr>
                <w:rFonts w:ascii="Arial Narrow" w:hAnsi="Arial Narrow"/>
                <w:sz w:val="22"/>
              </w:rPr>
              <w:t>Zusätzlich zu den immungeschwächten Patienten, haben Patienten mit bestimmten Risikofaktoren trotz Impfung ein erhöhtes Risiko für einen schweren COVID-19 Verlauf. Zu den Risikofaktoren gehören z.B: Bluthochdruck, koronare Herzkrankheit/Angina Pectoris, Herzinfarkt oder chronische Folgebeschwerden, Schlaganfall oder chronische Folgebeschwerden, Diabetes mellitus, Asthma bronchiale u.s.w.</w:t>
            </w:r>
          </w:p>
          <w:p w14:paraId="27FC4D66" w14:textId="77777777" w:rsidR="004B25EA" w:rsidRPr="004B25EA" w:rsidRDefault="004B25EA" w:rsidP="004B25EA">
            <w:pPr>
              <w:rPr>
                <w:rFonts w:ascii="Arial Narrow" w:hAnsi="Arial Narrow"/>
                <w:sz w:val="22"/>
              </w:rPr>
            </w:pPr>
            <w:r w:rsidRPr="004B25EA">
              <w:rPr>
                <w:rFonts w:ascii="Arial Narrow" w:hAnsi="Arial Narrow"/>
                <w:sz w:val="22"/>
              </w:rPr>
              <w:t>Eine Präexpositionsprophylaxe oder eine Behandlung können gegen einen schweren Verlauf schützen und somit einen Krankenhausaufenthalt vermeiden.</w:t>
            </w:r>
          </w:p>
          <w:p w14:paraId="15320891" w14:textId="77777777" w:rsidR="004B25EA" w:rsidRPr="004B25EA" w:rsidRDefault="004B25EA" w:rsidP="004B25EA">
            <w:pPr>
              <w:rPr>
                <w:rFonts w:ascii="Arial Narrow" w:hAnsi="Arial Narrow"/>
                <w:sz w:val="22"/>
              </w:rPr>
            </w:pPr>
            <w:r w:rsidRPr="004B25EA">
              <w:rPr>
                <w:rFonts w:ascii="Arial Narrow" w:hAnsi="Arial Narrow"/>
                <w:sz w:val="22"/>
              </w:rPr>
              <w:t xml:space="preserve">Viele nach Zulassung durchgeführte Studien mit Tixagevimab/Cilgavimab (Evusheld) zeigen, dass Risikopatienten vor einer symptomatischen COVID-19 Erkrankung und einer COVID-19 Hospitalisierung durch die Gabe von Tixagevimab/Cilgavimab (Evusheld) als Präexpositionsprophylaxe geschützt werden. </w:t>
            </w:r>
          </w:p>
          <w:p w14:paraId="3B7F533B" w14:textId="77777777" w:rsidR="004B25EA" w:rsidRPr="004B25EA" w:rsidRDefault="004B25EA" w:rsidP="004B25EA">
            <w:pPr>
              <w:rPr>
                <w:rFonts w:ascii="Arial Narrow" w:hAnsi="Arial Narrow"/>
                <w:sz w:val="22"/>
              </w:rPr>
            </w:pPr>
            <w:r w:rsidRPr="004B25EA">
              <w:rPr>
                <w:rFonts w:ascii="Arial Narrow" w:hAnsi="Arial Narrow"/>
                <w:sz w:val="22"/>
                <w:lang w:bidi="de-DE"/>
              </w:rPr>
              <w:t xml:space="preserve">Es wird erwartet, dass </w:t>
            </w:r>
            <w:r w:rsidRPr="004B25EA">
              <w:rPr>
                <w:rFonts w:ascii="Arial Narrow" w:hAnsi="Arial Narrow"/>
                <w:sz w:val="22"/>
              </w:rPr>
              <w:t>Sipavibart</w:t>
            </w:r>
            <w:r w:rsidRPr="004B25EA">
              <w:rPr>
                <w:rFonts w:ascii="Arial Narrow" w:hAnsi="Arial Narrow"/>
                <w:sz w:val="22"/>
                <w:lang w:bidi="de-DE"/>
              </w:rPr>
              <w:t xml:space="preserve"> ähnliche Sicherheits- und Pharmakokinetikprofile aufweisen wird wie Tixagevimab/Cilgavimab (Evusheld) und somit </w:t>
            </w:r>
            <w:r w:rsidRPr="004B25EA">
              <w:rPr>
                <w:rFonts w:ascii="Arial Narrow" w:hAnsi="Arial Narrow"/>
                <w:sz w:val="22"/>
              </w:rPr>
              <w:t xml:space="preserve">in der Lage sein wird, Patienten ähnlich gut schützen zu können. </w:t>
            </w:r>
          </w:p>
          <w:p w14:paraId="383C4396" w14:textId="77777777" w:rsidR="004B25EA" w:rsidRPr="00923312" w:rsidRDefault="004B25EA" w:rsidP="004B25EA">
            <w:pPr>
              <w:rPr>
                <w:rFonts w:ascii="Arial Narrow" w:hAnsi="Arial Narrow"/>
                <w:lang w:val="en-US"/>
              </w:rPr>
            </w:pPr>
          </w:p>
          <w:p w14:paraId="32640C0C" w14:textId="3BCCBB5A" w:rsidR="004B25EA" w:rsidRPr="004B25EA" w:rsidRDefault="004B25EA" w:rsidP="004B25EA">
            <w:pPr>
              <w:rPr>
                <w:rFonts w:ascii="Arial Narrow" w:hAnsi="Arial Narrow"/>
                <w:lang w:val="en-US"/>
              </w:rPr>
            </w:pPr>
            <w:r w:rsidRPr="004B25EA">
              <w:rPr>
                <w:rFonts w:ascii="Arial Narrow" w:hAnsi="Arial Narrow"/>
                <w:lang w:val="en-US"/>
              </w:rPr>
              <w:t>Quellen:</w:t>
            </w:r>
          </w:p>
          <w:p w14:paraId="432EF443" w14:textId="77777777" w:rsidR="004B25EA" w:rsidRPr="004B25EA" w:rsidRDefault="004B25EA" w:rsidP="004B25EA">
            <w:pPr>
              <w:rPr>
                <w:rFonts w:ascii="Arial Narrow" w:hAnsi="Arial Narrow"/>
                <w:sz w:val="20"/>
                <w:szCs w:val="20"/>
                <w:lang w:val="en-US"/>
              </w:rPr>
            </w:pPr>
            <w:r w:rsidRPr="004B25EA">
              <w:rPr>
                <w:rFonts w:ascii="Arial Narrow" w:hAnsi="Arial Narrow"/>
                <w:sz w:val="20"/>
                <w:szCs w:val="20"/>
                <w:lang w:val="en-US"/>
              </w:rPr>
              <w:t xml:space="preserve">Young-Xu et al. TIXA/CILGA During the Omicron Surge: Retrospective Analysis of National VA Data. Pre-print. </w:t>
            </w:r>
            <w:r w:rsidRPr="004B25EA">
              <w:rPr>
                <w:rFonts w:ascii="Arial Narrow" w:hAnsi="Arial Narrow"/>
                <w:i/>
                <w:iCs/>
                <w:sz w:val="20"/>
                <w:szCs w:val="20"/>
                <w:lang w:val="en-US"/>
              </w:rPr>
              <w:t xml:space="preserve">medRxiv. </w:t>
            </w:r>
            <w:r w:rsidRPr="004B25EA">
              <w:rPr>
                <w:rFonts w:ascii="Arial Narrow" w:hAnsi="Arial Narrow"/>
                <w:sz w:val="20"/>
                <w:szCs w:val="20"/>
                <w:lang w:val="en-US"/>
              </w:rPr>
              <w:t>2022.</w:t>
            </w:r>
          </w:p>
          <w:p w14:paraId="7B5D8840" w14:textId="77777777" w:rsidR="004B25EA" w:rsidRPr="004B25EA" w:rsidRDefault="004B25EA" w:rsidP="004B25EA">
            <w:pPr>
              <w:rPr>
                <w:rFonts w:ascii="Arial Narrow" w:hAnsi="Arial Narrow"/>
                <w:sz w:val="20"/>
                <w:szCs w:val="20"/>
                <w:lang w:val="en-US"/>
              </w:rPr>
            </w:pPr>
            <w:r w:rsidRPr="004B25EA">
              <w:rPr>
                <w:rFonts w:ascii="Arial Narrow" w:hAnsi="Arial Narrow"/>
                <w:sz w:val="20"/>
                <w:szCs w:val="20"/>
                <w:lang w:val="en-US"/>
              </w:rPr>
              <w:t xml:space="preserve">Ordaya EE et al. SARS-CoV-2 Infection in Immunocompromised Patients Who Received TIXA/CILGA. </w:t>
            </w:r>
            <w:r w:rsidRPr="004B25EA">
              <w:rPr>
                <w:rFonts w:ascii="Arial Narrow" w:hAnsi="Arial Narrow"/>
                <w:i/>
                <w:iCs/>
                <w:sz w:val="20"/>
                <w:szCs w:val="20"/>
                <w:lang w:val="en-US"/>
              </w:rPr>
              <w:t>Open Forum Infect Dis</w:t>
            </w:r>
            <w:r w:rsidRPr="004B25EA">
              <w:rPr>
                <w:rFonts w:ascii="Arial Narrow" w:hAnsi="Arial Narrow"/>
                <w:sz w:val="20"/>
                <w:szCs w:val="20"/>
                <w:lang w:val="en-US"/>
              </w:rPr>
              <w:t>. 2022.</w:t>
            </w:r>
          </w:p>
          <w:p w14:paraId="4E40FE41" w14:textId="77777777" w:rsidR="004B25EA" w:rsidRPr="004B25EA" w:rsidRDefault="004B25EA" w:rsidP="004B25EA">
            <w:pPr>
              <w:rPr>
                <w:rFonts w:ascii="Arial Narrow" w:hAnsi="Arial Narrow"/>
                <w:sz w:val="20"/>
                <w:szCs w:val="20"/>
                <w:lang w:val="en-US"/>
              </w:rPr>
            </w:pPr>
            <w:r w:rsidRPr="004B25EA">
              <w:rPr>
                <w:rFonts w:ascii="Arial Narrow" w:hAnsi="Arial Narrow"/>
                <w:sz w:val="20"/>
                <w:szCs w:val="20"/>
                <w:lang w:val="en-US"/>
              </w:rPr>
              <w:t xml:space="preserve">Kertes J et al. Association Between AZD7442 (Tixagevimab-Cilgavimab) Administration and SARS-CoV-2 Infection, Hospitalization and Mortality. Online ahead of print. </w:t>
            </w:r>
            <w:r w:rsidRPr="004B25EA">
              <w:rPr>
                <w:rFonts w:ascii="Arial Narrow" w:hAnsi="Arial Narrow"/>
                <w:i/>
                <w:iCs/>
                <w:sz w:val="20"/>
                <w:szCs w:val="20"/>
                <w:lang w:val="en-US"/>
              </w:rPr>
              <w:t>Clin Infect Dis</w:t>
            </w:r>
            <w:r w:rsidRPr="004B25EA">
              <w:rPr>
                <w:rFonts w:ascii="Arial Narrow" w:hAnsi="Arial Narrow"/>
                <w:sz w:val="20"/>
                <w:szCs w:val="20"/>
                <w:lang w:val="en-US"/>
              </w:rPr>
              <w:t>. 2022.</w:t>
            </w:r>
          </w:p>
          <w:p w14:paraId="2E66D8F5" w14:textId="77777777" w:rsidR="004B25EA" w:rsidRPr="004B25EA" w:rsidRDefault="004B25EA" w:rsidP="004B25EA">
            <w:pPr>
              <w:rPr>
                <w:rFonts w:ascii="Arial Narrow" w:hAnsi="Arial Narrow"/>
                <w:sz w:val="20"/>
                <w:szCs w:val="20"/>
                <w:lang w:val="en-US"/>
              </w:rPr>
            </w:pPr>
            <w:r w:rsidRPr="004B25EA">
              <w:rPr>
                <w:rFonts w:ascii="Arial Narrow" w:hAnsi="Arial Narrow"/>
                <w:sz w:val="20"/>
                <w:szCs w:val="20"/>
                <w:lang w:val="en-US"/>
              </w:rPr>
              <w:t xml:space="preserve">Chen B et al. Real World Effectiveness Of Tixagevimab/Cilgavimab (Evusheld) in the Omicron Era. </w:t>
            </w:r>
            <w:r w:rsidRPr="004B25EA">
              <w:rPr>
                <w:rFonts w:ascii="Arial Narrow" w:hAnsi="Arial Narrow"/>
                <w:i/>
                <w:iCs/>
                <w:sz w:val="20"/>
                <w:szCs w:val="20"/>
                <w:lang w:val="en-US"/>
              </w:rPr>
              <w:t>medRxiv</w:t>
            </w:r>
            <w:r w:rsidRPr="004B25EA">
              <w:rPr>
                <w:rFonts w:ascii="Arial Narrow" w:hAnsi="Arial Narrow"/>
                <w:sz w:val="20"/>
                <w:szCs w:val="20"/>
                <w:lang w:val="en-US"/>
              </w:rPr>
              <w:t>. 2022.</w:t>
            </w:r>
          </w:p>
          <w:p w14:paraId="3A9E0493" w14:textId="77777777" w:rsidR="004B25EA" w:rsidRPr="004B25EA" w:rsidRDefault="004B25EA" w:rsidP="004B25EA">
            <w:pPr>
              <w:rPr>
                <w:rFonts w:ascii="Arial Narrow" w:hAnsi="Arial Narrow"/>
                <w:sz w:val="20"/>
                <w:szCs w:val="20"/>
                <w:lang w:val="en-US"/>
              </w:rPr>
            </w:pPr>
            <w:r w:rsidRPr="004B25EA">
              <w:rPr>
                <w:rFonts w:ascii="Arial Narrow" w:hAnsi="Arial Narrow"/>
                <w:sz w:val="20"/>
                <w:szCs w:val="20"/>
                <w:lang w:val="en-US"/>
              </w:rPr>
              <w:t xml:space="preserve">Nguyen Y, et al. Pre-exposure Prophylaxis With Tixagevimab and Cilgavimab (Evusheld) for COVID-19 Among 1112 Severely Immunocompromised Patients. </w:t>
            </w:r>
            <w:r w:rsidRPr="004B25EA">
              <w:rPr>
                <w:rFonts w:ascii="Arial Narrow" w:hAnsi="Arial Narrow"/>
                <w:i/>
                <w:iCs/>
                <w:sz w:val="20"/>
                <w:szCs w:val="20"/>
                <w:lang w:val="en-US"/>
              </w:rPr>
              <w:t>CMI</w:t>
            </w:r>
            <w:r w:rsidRPr="004B25EA">
              <w:rPr>
                <w:rFonts w:ascii="Arial Narrow" w:hAnsi="Arial Narrow"/>
                <w:sz w:val="20"/>
                <w:szCs w:val="20"/>
                <w:lang w:val="en-US"/>
              </w:rPr>
              <w:t>. 2022; 28(12):1654.e1-1654.e4.</w:t>
            </w:r>
          </w:p>
          <w:p w14:paraId="5B223F83" w14:textId="77777777" w:rsidR="004B25EA" w:rsidRPr="004B25EA" w:rsidRDefault="004B25EA" w:rsidP="004B25EA">
            <w:pPr>
              <w:rPr>
                <w:rFonts w:ascii="Arial Narrow" w:hAnsi="Arial Narrow"/>
                <w:sz w:val="20"/>
                <w:szCs w:val="20"/>
                <w:lang w:val="en-US"/>
              </w:rPr>
            </w:pPr>
            <w:r w:rsidRPr="004B25EA">
              <w:rPr>
                <w:rFonts w:ascii="Arial Narrow" w:hAnsi="Arial Narrow"/>
                <w:sz w:val="20"/>
                <w:szCs w:val="20"/>
                <w:lang w:val="en-US"/>
              </w:rPr>
              <w:t xml:space="preserve">Agrawal et al 2023. Severe COVID-19 outcomes after full vaccination of primary schedule and initial boosters: pooled analysis of national prospective cohort studies of 30 million individuals in England, Northern Ireland, Scotland, and Wales. The Lancet. Published: October 15, 2022 </w:t>
            </w:r>
          </w:p>
          <w:p w14:paraId="4BEB62B3" w14:textId="77777777" w:rsidR="004B25EA" w:rsidRPr="004B25EA" w:rsidRDefault="004B25EA" w:rsidP="004B25EA">
            <w:pPr>
              <w:rPr>
                <w:rFonts w:ascii="Arial Narrow" w:hAnsi="Arial Narrow"/>
                <w:sz w:val="20"/>
                <w:szCs w:val="20"/>
                <w:lang w:val="en-US"/>
              </w:rPr>
            </w:pPr>
            <w:r w:rsidRPr="004B25EA">
              <w:rPr>
                <w:rFonts w:ascii="Arial Narrow" w:hAnsi="Arial Narrow"/>
                <w:sz w:val="20"/>
                <w:szCs w:val="20"/>
                <w:lang w:val="en-US"/>
              </w:rPr>
              <w:t>Amita Ketkar, Vincent Willey, Michael Pollack, Lisa Glasser, Casey Dobie, Cachet Wenziger, Chia-Chen Teng, Christine Dube, Dennis Cunningham &amp; Monica Verduzco-Gutierrez (2023): Assessing the risk and costs of COVID-19 in immunocompromised populations in a large United States commercial insurance health plan: the EPOCH-US Study, Current Medical Research and Opinion, DOI: 10.1080/03007995.2023.2233819</w:t>
            </w:r>
          </w:p>
          <w:p w14:paraId="5E187B02" w14:textId="77777777" w:rsidR="004B25EA" w:rsidRPr="004B25EA" w:rsidRDefault="004B25EA" w:rsidP="004B25EA">
            <w:pPr>
              <w:rPr>
                <w:rFonts w:ascii="Arial Narrow" w:hAnsi="Arial Narrow"/>
                <w:sz w:val="20"/>
                <w:szCs w:val="20"/>
                <w:lang w:val="en-US"/>
              </w:rPr>
            </w:pPr>
            <w:r w:rsidRPr="004B25EA">
              <w:rPr>
                <w:rFonts w:ascii="Arial Narrow" w:hAnsi="Arial Narrow"/>
                <w:sz w:val="20"/>
                <w:szCs w:val="20"/>
              </w:rPr>
              <w:t xml:space="preserve">Brosh Nissimov T, Orenbuch-Harroch E, Chowers M, et al. </w:t>
            </w:r>
            <w:r w:rsidRPr="004B25EA">
              <w:rPr>
                <w:rFonts w:ascii="Arial Narrow" w:hAnsi="Arial Narrow"/>
                <w:sz w:val="20"/>
                <w:szCs w:val="20"/>
                <w:lang w:val="en-US"/>
              </w:rPr>
              <w:t>BNT162b2 vaccine breakthrough: clinical characteristics of 152 fully vaccinated hospitalized COVID-19 patients in Israel. Clin Microbiol Infect. 2021; 27(11): 1652 1657. DOI: 10.1016/j. cmi.2021.06.036</w:t>
            </w:r>
          </w:p>
          <w:p w14:paraId="6C33DF4E" w14:textId="77777777" w:rsidR="004B25EA" w:rsidRPr="004B25EA" w:rsidRDefault="004B25EA" w:rsidP="004B25EA">
            <w:pPr>
              <w:rPr>
                <w:rFonts w:ascii="Arial Narrow" w:hAnsi="Arial Narrow"/>
                <w:sz w:val="20"/>
                <w:szCs w:val="20"/>
              </w:rPr>
            </w:pPr>
            <w:r w:rsidRPr="004B25EA">
              <w:rPr>
                <w:rFonts w:ascii="Arial Narrow" w:hAnsi="Arial Narrow"/>
                <w:sz w:val="20"/>
                <w:szCs w:val="20"/>
                <w:lang w:val="en-US"/>
              </w:rPr>
              <w:t xml:space="preserve">Di Fusco M, Moran MM, Cane A, Curcio D, Khan F, Malhotra D, Surinach A, Miles A, Swerdlow D, McLaughlin JM, Nguyen JL. Evaluation of COVID-19 vaccine breakthrough infections among immunocompromised patients fully vaccinated with BNT162b2. </w:t>
            </w:r>
            <w:r w:rsidRPr="004B25EA">
              <w:rPr>
                <w:rFonts w:ascii="Arial Narrow" w:hAnsi="Arial Narrow"/>
                <w:sz w:val="20"/>
                <w:szCs w:val="20"/>
              </w:rPr>
              <w:t>J Med Econ. 2021 Jan-Dec;24(1):1248-1260. doi: 10.1080/13696998.2021.2002063. PMID: 34844493.)</w:t>
            </w:r>
          </w:p>
          <w:p w14:paraId="3EC5A9E6" w14:textId="77777777" w:rsidR="004B25EA" w:rsidRPr="004B25EA" w:rsidRDefault="004B25EA" w:rsidP="004B25EA">
            <w:pPr>
              <w:rPr>
                <w:rFonts w:ascii="Arial Narrow" w:hAnsi="Arial Narrow"/>
                <w:sz w:val="20"/>
                <w:szCs w:val="20"/>
              </w:rPr>
            </w:pPr>
            <w:r w:rsidRPr="004B25EA">
              <w:rPr>
                <w:rFonts w:ascii="Arial Narrow" w:hAnsi="Arial Narrow"/>
                <w:sz w:val="20"/>
                <w:szCs w:val="20"/>
              </w:rPr>
              <w:t>Journal of Health Monitoring 1 Bevölkerung mit einem erhöhten Risiko für schwere COVID-19-Verläufe in Deutschland. Auswertungen der Studie GEDA 2019/2020-EHIS</w:t>
            </w:r>
          </w:p>
          <w:p w14:paraId="19E75E35" w14:textId="4013B665" w:rsidR="00A530BE" w:rsidRPr="00923312" w:rsidRDefault="004B25EA" w:rsidP="004B25EA">
            <w:pPr>
              <w:rPr>
                <w:rFonts w:ascii="Arial Narrow" w:hAnsi="Arial Narrow"/>
              </w:rPr>
            </w:pPr>
            <w:r w:rsidRPr="00923312">
              <w:rPr>
                <w:rFonts w:ascii="Arial Narrow" w:hAnsi="Arial Narrow"/>
                <w:sz w:val="20"/>
                <w:szCs w:val="20"/>
              </w:rPr>
              <w:t xml:space="preserve">Yek C, Warner S, Wiltz JL, et al. </w:t>
            </w:r>
            <w:r w:rsidRPr="00923312">
              <w:rPr>
                <w:rFonts w:ascii="Arial Narrow" w:hAnsi="Arial Narrow"/>
                <w:sz w:val="20"/>
                <w:szCs w:val="20"/>
                <w:lang w:val="en-US"/>
              </w:rPr>
              <w:t>Risk Factors for Severe COVID-19 Outcomes Among Persons Aged ≥18 Years Who Completed a Primary COVID-19 Vaccination Series — 465 Health Care Facilities, United States, December 2020–October 2021. MMWR Morb Mortal Wkly Rep 2022;71:19–25.</w:t>
            </w:r>
          </w:p>
        </w:tc>
      </w:tr>
    </w:tbl>
    <w:p w14:paraId="4E061776" w14:textId="77777777" w:rsidR="008E6675" w:rsidRPr="00923312"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23312" w:rsidRPr="00923312" w14:paraId="6BCFFEC8" w14:textId="77777777">
        <w:tc>
          <w:tcPr>
            <w:tcW w:w="9212" w:type="dxa"/>
          </w:tcPr>
          <w:p w14:paraId="5ABEFBD5" w14:textId="77777777" w:rsidR="008E6675" w:rsidRPr="00923312" w:rsidRDefault="008E6675" w:rsidP="005638EB">
            <w:pPr>
              <w:rPr>
                <w:rFonts w:ascii="Arial Narrow" w:hAnsi="Arial Narrow"/>
                <w:b/>
              </w:rPr>
            </w:pPr>
            <w:r w:rsidRPr="00923312">
              <w:rPr>
                <w:rFonts w:ascii="Arial Narrow" w:hAnsi="Arial Narrow"/>
                <w:b/>
                <w:sz w:val="22"/>
              </w:rPr>
              <w:t>Wann wurde diese Methode in Deutschland eingeführt?</w:t>
            </w:r>
          </w:p>
        </w:tc>
      </w:tr>
      <w:tr w:rsidR="00923312" w:rsidRPr="00923312" w14:paraId="0DF8F781" w14:textId="77777777">
        <w:tc>
          <w:tcPr>
            <w:tcW w:w="9212" w:type="dxa"/>
          </w:tcPr>
          <w:p w14:paraId="256E27C8" w14:textId="7C7A6873" w:rsidR="00D14350" w:rsidRPr="00923312" w:rsidRDefault="00044597" w:rsidP="00C112A6">
            <w:pPr>
              <w:rPr>
                <w:rFonts w:ascii="Arial Narrow" w:hAnsi="Arial Narrow"/>
                <w:sz w:val="22"/>
              </w:rPr>
            </w:pPr>
            <w:r w:rsidRPr="00923312">
              <w:rPr>
                <w:rFonts w:ascii="Arial Narrow" w:hAnsi="Arial Narrow"/>
                <w:sz w:val="22"/>
              </w:rPr>
              <w:t>Z</w:t>
            </w:r>
            <w:r w:rsidR="00D14350" w:rsidRPr="00923312">
              <w:rPr>
                <w:rFonts w:ascii="Arial Narrow" w:hAnsi="Arial Narrow"/>
                <w:sz w:val="22"/>
              </w:rPr>
              <w:t>eitnah nach Zulassung erwartet</w:t>
            </w:r>
            <w:r w:rsidR="002B589F" w:rsidRPr="00923312">
              <w:rPr>
                <w:rFonts w:ascii="Arial Narrow" w:hAnsi="Arial Narrow"/>
                <w:sz w:val="22"/>
              </w:rPr>
              <w:t>.</w:t>
            </w:r>
          </w:p>
        </w:tc>
      </w:tr>
    </w:tbl>
    <w:p w14:paraId="233BCD28" w14:textId="77777777" w:rsidR="008E6675" w:rsidRPr="00923312"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23312" w:rsidRPr="00923312" w14:paraId="7DE956DB" w14:textId="77777777">
        <w:tc>
          <w:tcPr>
            <w:tcW w:w="9212" w:type="dxa"/>
          </w:tcPr>
          <w:p w14:paraId="483A4156" w14:textId="77777777" w:rsidR="008E6675" w:rsidRPr="00923312" w:rsidRDefault="008E6675" w:rsidP="005638EB">
            <w:pPr>
              <w:rPr>
                <w:rFonts w:ascii="Arial Narrow" w:hAnsi="Arial Narrow"/>
                <w:b/>
              </w:rPr>
            </w:pPr>
            <w:r w:rsidRPr="00923312">
              <w:rPr>
                <w:rFonts w:ascii="Arial Narrow" w:hAnsi="Arial Narrow"/>
                <w:b/>
                <w:sz w:val="22"/>
              </w:rPr>
              <w:t>Bei Medikamenten: Wann wurde dieses Medikament zugelassen?</w:t>
            </w:r>
          </w:p>
        </w:tc>
      </w:tr>
      <w:tr w:rsidR="00923312" w:rsidRPr="00923312" w14:paraId="1264FF24" w14:textId="77777777">
        <w:tc>
          <w:tcPr>
            <w:tcW w:w="9212" w:type="dxa"/>
          </w:tcPr>
          <w:p w14:paraId="7D605E75" w14:textId="77777777" w:rsidR="002B589F" w:rsidRPr="00923312" w:rsidRDefault="00C112A6" w:rsidP="002B589F">
            <w:pPr>
              <w:rPr>
                <w:rFonts w:ascii="Arial Narrow" w:hAnsi="Arial Narrow"/>
                <w:sz w:val="22"/>
              </w:rPr>
            </w:pPr>
            <w:r w:rsidRPr="00923312">
              <w:rPr>
                <w:rFonts w:ascii="Arial Narrow" w:hAnsi="Arial Narrow"/>
                <w:sz w:val="22"/>
              </w:rPr>
              <w:t>[</w:t>
            </w:r>
            <w:r w:rsidR="002B589F" w:rsidRPr="00923312">
              <w:rPr>
                <w:rFonts w:ascii="Arial Narrow" w:hAnsi="Arial Narrow"/>
                <w:sz w:val="22"/>
              </w:rPr>
              <w:t>Der Antrag auf Marktzulassung (MAA) für Sipavibart wurde von der Europäischen Arzneimittel-Agentur (EMA) im Rahmen eines beschleunigten Beurteilungsverfahrens für die Prä-Expositionsprophylaxe (Prävention) von COVID-19 bei immungeschwächten Patienten angenommen.</w:t>
            </w:r>
          </w:p>
          <w:p w14:paraId="7BB60EDC" w14:textId="1224177A" w:rsidR="00044597" w:rsidRPr="00923312" w:rsidRDefault="00044597" w:rsidP="00C112A6">
            <w:pPr>
              <w:rPr>
                <w:rFonts w:ascii="Arial Narrow" w:hAnsi="Arial Narrow"/>
                <w:sz w:val="22"/>
              </w:rPr>
            </w:pPr>
            <w:r w:rsidRPr="00923312">
              <w:rPr>
                <w:rFonts w:ascii="Arial Narrow" w:hAnsi="Arial Narrow"/>
                <w:sz w:val="22"/>
              </w:rPr>
              <w:t xml:space="preserve">Mit der Zulassung wird </w:t>
            </w:r>
            <w:r w:rsidR="002B589F" w:rsidRPr="00923312">
              <w:rPr>
                <w:rFonts w:ascii="Arial Narrow" w:hAnsi="Arial Narrow"/>
                <w:sz w:val="22"/>
              </w:rPr>
              <w:t>in Quartal 4 2024</w:t>
            </w:r>
            <w:r w:rsidRPr="00923312">
              <w:rPr>
                <w:rFonts w:ascii="Arial Narrow" w:hAnsi="Arial Narrow"/>
                <w:sz w:val="22"/>
              </w:rPr>
              <w:t xml:space="preserve"> gerechnet.</w:t>
            </w:r>
          </w:p>
        </w:tc>
      </w:tr>
    </w:tbl>
    <w:p w14:paraId="479CCD3D" w14:textId="77777777" w:rsidR="008E6675" w:rsidRPr="00923312"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23312" w:rsidRPr="00923312" w14:paraId="24374391" w14:textId="77777777">
        <w:tc>
          <w:tcPr>
            <w:tcW w:w="9212" w:type="dxa"/>
          </w:tcPr>
          <w:p w14:paraId="657A69BC" w14:textId="77777777" w:rsidR="008E6675" w:rsidRPr="00923312" w:rsidRDefault="008E6675" w:rsidP="005638EB">
            <w:pPr>
              <w:rPr>
                <w:rFonts w:ascii="Arial Narrow" w:hAnsi="Arial Narrow"/>
                <w:b/>
              </w:rPr>
            </w:pPr>
            <w:r w:rsidRPr="00923312">
              <w:rPr>
                <w:rFonts w:ascii="Arial Narrow" w:hAnsi="Arial Narrow"/>
                <w:b/>
                <w:sz w:val="22"/>
              </w:rPr>
              <w:t xml:space="preserve">Wann wurde </w:t>
            </w:r>
            <w:r w:rsidR="002333FF" w:rsidRPr="00923312">
              <w:rPr>
                <w:rFonts w:ascii="Arial Narrow" w:hAnsi="Arial Narrow"/>
                <w:b/>
                <w:sz w:val="22"/>
              </w:rPr>
              <w:t xml:space="preserve">bzw. wird </w:t>
            </w:r>
            <w:r w:rsidRPr="00923312">
              <w:rPr>
                <w:rFonts w:ascii="Arial Narrow" w:hAnsi="Arial Narrow"/>
                <w:b/>
                <w:sz w:val="22"/>
              </w:rPr>
              <w:t>die Methode in Ihrem Krankenhaus eingeführt?</w:t>
            </w:r>
          </w:p>
        </w:tc>
      </w:tr>
      <w:tr w:rsidR="00923312" w:rsidRPr="00923312" w14:paraId="4BC61AB6" w14:textId="77777777">
        <w:tc>
          <w:tcPr>
            <w:tcW w:w="9212" w:type="dxa"/>
          </w:tcPr>
          <w:p w14:paraId="7727C539" w14:textId="77777777" w:rsidR="008E6675" w:rsidRPr="00923312" w:rsidRDefault="00983554" w:rsidP="005638EB">
            <w:pPr>
              <w:rPr>
                <w:rFonts w:ascii="Arial Narrow" w:hAnsi="Arial Narrow"/>
              </w:rPr>
            </w:pPr>
            <w:r w:rsidRPr="00923312">
              <w:rPr>
                <w:rFonts w:ascii="Arial Narrow" w:hAnsi="Arial Narrow"/>
                <w:sz w:val="22"/>
                <w:highlight w:val="yellow"/>
              </w:rPr>
              <w:t>[bitte ergänzen]</w:t>
            </w:r>
          </w:p>
        </w:tc>
      </w:tr>
    </w:tbl>
    <w:p w14:paraId="09FB8D77" w14:textId="77777777" w:rsidR="008E6675" w:rsidRPr="00923312"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23312" w:rsidRPr="00923312" w14:paraId="3D6635CC" w14:textId="77777777">
        <w:tc>
          <w:tcPr>
            <w:tcW w:w="9212" w:type="dxa"/>
          </w:tcPr>
          <w:p w14:paraId="126EBD70" w14:textId="77777777" w:rsidR="008E6675" w:rsidRPr="00923312" w:rsidRDefault="008E6675" w:rsidP="005638EB">
            <w:pPr>
              <w:rPr>
                <w:rFonts w:ascii="Arial Narrow" w:hAnsi="Arial Narrow"/>
                <w:b/>
              </w:rPr>
            </w:pPr>
            <w:r w:rsidRPr="00923312">
              <w:rPr>
                <w:rFonts w:ascii="Arial Narrow" w:hAnsi="Arial Narrow"/>
                <w:b/>
                <w:sz w:val="22"/>
              </w:rPr>
              <w:t>In wie vielen Kliniken wird diese Methode derzeit eingesetzt (Schätzung)?</w:t>
            </w:r>
          </w:p>
        </w:tc>
      </w:tr>
      <w:tr w:rsidR="00923312" w:rsidRPr="00923312" w14:paraId="4C00526F" w14:textId="77777777">
        <w:tc>
          <w:tcPr>
            <w:tcW w:w="9212" w:type="dxa"/>
          </w:tcPr>
          <w:p w14:paraId="21DD9094" w14:textId="21DC7F08" w:rsidR="00C112A6" w:rsidRPr="00923312" w:rsidRDefault="00F62BB2" w:rsidP="00F62BB2">
            <w:pPr>
              <w:rPr>
                <w:rFonts w:ascii="Arial Narrow" w:hAnsi="Arial Narrow"/>
              </w:rPr>
            </w:pPr>
            <w:r w:rsidRPr="00923312">
              <w:rPr>
                <w:rFonts w:ascii="Arial Narrow" w:hAnsi="Arial Narrow"/>
              </w:rPr>
              <w:t>Sipavibart wird aufgrund der bisher noch nicht erteilten Zulassung nicht in Kliniken eingesetzt.</w:t>
            </w:r>
          </w:p>
        </w:tc>
      </w:tr>
    </w:tbl>
    <w:p w14:paraId="43674FE7" w14:textId="77777777" w:rsidR="008E6675" w:rsidRPr="00923312"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23312" w:rsidRPr="00923312" w14:paraId="2BCF6BA3" w14:textId="77777777">
        <w:tc>
          <w:tcPr>
            <w:tcW w:w="9212" w:type="dxa"/>
          </w:tcPr>
          <w:p w14:paraId="6D713A1D" w14:textId="1AB2ACBD" w:rsidR="008E6675" w:rsidRPr="00923312" w:rsidRDefault="008E6675" w:rsidP="00285AE4">
            <w:pPr>
              <w:rPr>
                <w:rFonts w:ascii="Arial Narrow" w:hAnsi="Arial Narrow"/>
              </w:rPr>
            </w:pPr>
            <w:r w:rsidRPr="00923312">
              <w:rPr>
                <w:rFonts w:ascii="Arial Narrow" w:hAnsi="Arial Narrow"/>
                <w:b/>
                <w:sz w:val="22"/>
              </w:rPr>
              <w:t>Wie viele Patienten wur</w:t>
            </w:r>
            <w:r w:rsidR="000953D2" w:rsidRPr="00923312">
              <w:rPr>
                <w:rFonts w:ascii="Arial Narrow" w:hAnsi="Arial Narrow"/>
                <w:b/>
                <w:sz w:val="22"/>
              </w:rPr>
              <w:t>den in Ihrem Krankenhaus in 202</w:t>
            </w:r>
            <w:r w:rsidR="004736E4" w:rsidRPr="00923312">
              <w:rPr>
                <w:rFonts w:ascii="Arial Narrow" w:hAnsi="Arial Narrow"/>
                <w:b/>
                <w:sz w:val="22"/>
              </w:rPr>
              <w:t>3</w:t>
            </w:r>
            <w:r w:rsidR="000953D2" w:rsidRPr="00923312">
              <w:rPr>
                <w:rFonts w:ascii="Arial Narrow" w:hAnsi="Arial Narrow"/>
                <w:b/>
                <w:sz w:val="22"/>
              </w:rPr>
              <w:t xml:space="preserve"> oder in 202</w:t>
            </w:r>
            <w:r w:rsidR="004736E4" w:rsidRPr="00923312">
              <w:rPr>
                <w:rFonts w:ascii="Arial Narrow" w:hAnsi="Arial Narrow"/>
                <w:b/>
                <w:sz w:val="22"/>
              </w:rPr>
              <w:t>4</w:t>
            </w:r>
            <w:r w:rsidRPr="00923312">
              <w:rPr>
                <w:rFonts w:ascii="Arial Narrow" w:hAnsi="Arial Narrow"/>
                <w:b/>
                <w:sz w:val="22"/>
              </w:rPr>
              <w:t xml:space="preserve"> mit dieser Methode behandelt?</w:t>
            </w:r>
          </w:p>
        </w:tc>
      </w:tr>
      <w:tr w:rsidR="00923312" w:rsidRPr="00923312" w14:paraId="5CCFBAD3" w14:textId="77777777">
        <w:tc>
          <w:tcPr>
            <w:tcW w:w="9212" w:type="dxa"/>
          </w:tcPr>
          <w:p w14:paraId="4F6124DB" w14:textId="4372C6C4" w:rsidR="008E6675" w:rsidRPr="00923312" w:rsidRDefault="008E6675" w:rsidP="00285AE4">
            <w:pPr>
              <w:rPr>
                <w:rFonts w:ascii="Arial Narrow" w:hAnsi="Arial Narrow"/>
                <w:sz w:val="22"/>
              </w:rPr>
            </w:pPr>
            <w:r w:rsidRPr="00923312">
              <w:rPr>
                <w:rFonts w:ascii="Arial Narrow" w:hAnsi="Arial Narrow"/>
                <w:sz w:val="22"/>
              </w:rPr>
              <w:t xml:space="preserve">In </w:t>
            </w:r>
            <w:r w:rsidR="000953D2" w:rsidRPr="00923312">
              <w:rPr>
                <w:rFonts w:ascii="Arial Narrow" w:hAnsi="Arial Narrow"/>
                <w:sz w:val="22"/>
              </w:rPr>
              <w:t>202</w:t>
            </w:r>
            <w:r w:rsidR="004736E4" w:rsidRPr="00923312">
              <w:rPr>
                <w:rFonts w:ascii="Arial Narrow" w:hAnsi="Arial Narrow"/>
                <w:sz w:val="22"/>
              </w:rPr>
              <w:t>3</w:t>
            </w:r>
          </w:p>
        </w:tc>
      </w:tr>
      <w:tr w:rsidR="00923312" w:rsidRPr="00923312" w14:paraId="1992E6A2" w14:textId="77777777">
        <w:tc>
          <w:tcPr>
            <w:tcW w:w="9212" w:type="dxa"/>
          </w:tcPr>
          <w:p w14:paraId="283F259E" w14:textId="77777777" w:rsidR="00983554" w:rsidRPr="00923312" w:rsidRDefault="00983554" w:rsidP="0036178C">
            <w:pPr>
              <w:rPr>
                <w:rFonts w:ascii="Arial Narrow" w:hAnsi="Arial Narrow"/>
              </w:rPr>
            </w:pPr>
            <w:r w:rsidRPr="00923312">
              <w:rPr>
                <w:rFonts w:ascii="Arial Narrow" w:hAnsi="Arial Narrow"/>
                <w:sz w:val="22"/>
                <w:highlight w:val="yellow"/>
              </w:rPr>
              <w:t>[bitte ergänzen]</w:t>
            </w:r>
          </w:p>
        </w:tc>
      </w:tr>
      <w:tr w:rsidR="00923312" w:rsidRPr="00923312" w14:paraId="175E4977" w14:textId="77777777">
        <w:tc>
          <w:tcPr>
            <w:tcW w:w="9212" w:type="dxa"/>
          </w:tcPr>
          <w:p w14:paraId="33A68C3A" w14:textId="2909E3F7" w:rsidR="008E6675" w:rsidRPr="00923312" w:rsidRDefault="008E6675" w:rsidP="00285AE4">
            <w:pPr>
              <w:rPr>
                <w:rFonts w:ascii="Arial Narrow" w:hAnsi="Arial Narrow"/>
                <w:sz w:val="22"/>
              </w:rPr>
            </w:pPr>
            <w:r w:rsidRPr="00923312">
              <w:rPr>
                <w:rFonts w:ascii="Arial Narrow" w:hAnsi="Arial Narrow"/>
                <w:sz w:val="22"/>
              </w:rPr>
              <w:t xml:space="preserve">In </w:t>
            </w:r>
            <w:r w:rsidR="000953D2" w:rsidRPr="00923312">
              <w:rPr>
                <w:rFonts w:ascii="Arial Narrow" w:hAnsi="Arial Narrow"/>
                <w:sz w:val="22"/>
              </w:rPr>
              <w:t>202</w:t>
            </w:r>
            <w:r w:rsidR="004736E4" w:rsidRPr="00923312">
              <w:rPr>
                <w:rFonts w:ascii="Arial Narrow" w:hAnsi="Arial Narrow"/>
                <w:sz w:val="22"/>
              </w:rPr>
              <w:t>4</w:t>
            </w:r>
          </w:p>
        </w:tc>
      </w:tr>
      <w:tr w:rsidR="00923312" w:rsidRPr="00923312" w14:paraId="6BABCFC8" w14:textId="77777777">
        <w:tc>
          <w:tcPr>
            <w:tcW w:w="9212" w:type="dxa"/>
          </w:tcPr>
          <w:p w14:paraId="17351D25" w14:textId="77777777" w:rsidR="00983554" w:rsidRPr="00923312" w:rsidRDefault="00983554" w:rsidP="0036178C">
            <w:pPr>
              <w:rPr>
                <w:rFonts w:ascii="Arial Narrow" w:hAnsi="Arial Narrow"/>
              </w:rPr>
            </w:pPr>
            <w:r w:rsidRPr="00923312">
              <w:rPr>
                <w:rFonts w:ascii="Arial Narrow" w:hAnsi="Arial Narrow"/>
                <w:sz w:val="22"/>
                <w:highlight w:val="yellow"/>
              </w:rPr>
              <w:t>[bitte ergänzen]</w:t>
            </w:r>
          </w:p>
        </w:tc>
      </w:tr>
    </w:tbl>
    <w:p w14:paraId="394F2677" w14:textId="77777777" w:rsidR="008E6675" w:rsidRPr="00923312"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23312" w:rsidRPr="00923312" w14:paraId="49B8805A" w14:textId="77777777">
        <w:tc>
          <w:tcPr>
            <w:tcW w:w="9212" w:type="dxa"/>
          </w:tcPr>
          <w:p w14:paraId="2C8371FB" w14:textId="400474CA" w:rsidR="008E6675" w:rsidRPr="00923312" w:rsidRDefault="008E6675" w:rsidP="00285AE4">
            <w:pPr>
              <w:rPr>
                <w:rFonts w:ascii="Arial Narrow" w:hAnsi="Arial Narrow"/>
              </w:rPr>
            </w:pPr>
            <w:r w:rsidRPr="00923312">
              <w:rPr>
                <w:rFonts w:ascii="Arial Narrow" w:hAnsi="Arial Narrow"/>
                <w:b/>
                <w:sz w:val="22"/>
              </w:rPr>
              <w:t>Wieviele P</w:t>
            </w:r>
            <w:r w:rsidR="00A530BE" w:rsidRPr="00923312">
              <w:rPr>
                <w:rFonts w:ascii="Arial Narrow" w:hAnsi="Arial Narrow"/>
                <w:b/>
                <w:sz w:val="22"/>
              </w:rPr>
              <w:t>atienten planen Sie im Jahr 20</w:t>
            </w:r>
            <w:r w:rsidR="000953D2" w:rsidRPr="00923312">
              <w:rPr>
                <w:rFonts w:ascii="Arial Narrow" w:hAnsi="Arial Narrow"/>
                <w:b/>
                <w:sz w:val="22"/>
              </w:rPr>
              <w:t>2</w:t>
            </w:r>
            <w:r w:rsidR="004736E4" w:rsidRPr="00923312">
              <w:rPr>
                <w:rFonts w:ascii="Arial Narrow" w:hAnsi="Arial Narrow"/>
                <w:b/>
                <w:sz w:val="22"/>
              </w:rPr>
              <w:t>5</w:t>
            </w:r>
            <w:r w:rsidRPr="00923312">
              <w:rPr>
                <w:rFonts w:ascii="Arial Narrow" w:hAnsi="Arial Narrow"/>
                <w:b/>
                <w:sz w:val="22"/>
              </w:rPr>
              <w:t xml:space="preserve"> mit dieser Methode zu behandeln?</w:t>
            </w:r>
          </w:p>
        </w:tc>
      </w:tr>
      <w:tr w:rsidR="00923312" w:rsidRPr="00923312" w14:paraId="742C5EF0" w14:textId="77777777">
        <w:tc>
          <w:tcPr>
            <w:tcW w:w="9212" w:type="dxa"/>
          </w:tcPr>
          <w:p w14:paraId="4620D230" w14:textId="77777777" w:rsidR="00983554" w:rsidRPr="00923312" w:rsidRDefault="00983554" w:rsidP="0036178C">
            <w:pPr>
              <w:rPr>
                <w:rFonts w:ascii="Arial Narrow" w:hAnsi="Arial Narrow"/>
              </w:rPr>
            </w:pPr>
            <w:r w:rsidRPr="00923312">
              <w:rPr>
                <w:rFonts w:ascii="Arial Narrow" w:hAnsi="Arial Narrow"/>
                <w:sz w:val="22"/>
                <w:highlight w:val="yellow"/>
              </w:rPr>
              <w:t>[bitte ergänzen]</w:t>
            </w:r>
          </w:p>
        </w:tc>
      </w:tr>
    </w:tbl>
    <w:p w14:paraId="654325C8" w14:textId="77777777" w:rsidR="008E6675" w:rsidRPr="00923312"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23312" w:rsidRPr="00923312" w14:paraId="04A6A805" w14:textId="77777777">
        <w:tc>
          <w:tcPr>
            <w:tcW w:w="9212" w:type="dxa"/>
          </w:tcPr>
          <w:p w14:paraId="5C0D4897" w14:textId="77777777" w:rsidR="008E6675" w:rsidRPr="00923312" w:rsidRDefault="008E6675" w:rsidP="005638EB">
            <w:pPr>
              <w:rPr>
                <w:rFonts w:ascii="Arial Narrow" w:hAnsi="Arial Narrow"/>
              </w:rPr>
            </w:pPr>
            <w:r w:rsidRPr="00923312">
              <w:rPr>
                <w:rFonts w:ascii="Arial Narrow" w:hAnsi="Arial Narrow"/>
                <w:b/>
                <w:sz w:val="22"/>
              </w:rPr>
              <w:t>Entstehen durch die neue Methode Mehrkosten gegenüber dem bisher üblichen Verfahren? Wenn ja, wodurch? In welcher Höhe (möglichst aufgetrennt nach Personal- und Sachkosten)?</w:t>
            </w:r>
          </w:p>
        </w:tc>
      </w:tr>
      <w:tr w:rsidR="00923312" w:rsidRPr="00923312" w14:paraId="169DFC57" w14:textId="77777777">
        <w:tc>
          <w:tcPr>
            <w:tcW w:w="9212" w:type="dxa"/>
          </w:tcPr>
          <w:p w14:paraId="751D12DE" w14:textId="77777777" w:rsidR="000953D2" w:rsidRPr="00923312" w:rsidRDefault="008E6675" w:rsidP="005638EB">
            <w:pPr>
              <w:rPr>
                <w:rFonts w:ascii="Arial Narrow" w:hAnsi="Arial Narrow"/>
                <w:sz w:val="22"/>
              </w:rPr>
            </w:pPr>
            <w:r w:rsidRPr="00923312">
              <w:rPr>
                <w:rFonts w:ascii="Arial Narrow" w:hAnsi="Arial Narrow"/>
                <w:sz w:val="22"/>
              </w:rPr>
              <w:t xml:space="preserve">Sachkosten: </w:t>
            </w:r>
          </w:p>
          <w:p w14:paraId="6355A4B1" w14:textId="77777777" w:rsidR="00F62BB2" w:rsidRPr="00F62BB2" w:rsidRDefault="00F62BB2" w:rsidP="00F62BB2">
            <w:pPr>
              <w:rPr>
                <w:rFonts w:ascii="Arial Narrow" w:hAnsi="Arial Narrow"/>
                <w:sz w:val="22"/>
              </w:rPr>
            </w:pPr>
            <w:r w:rsidRPr="00F62BB2">
              <w:rPr>
                <w:rFonts w:ascii="Arial Narrow" w:hAnsi="Arial Narrow"/>
                <w:sz w:val="22"/>
              </w:rPr>
              <w:t>Der Preis von Sipavibart pro Packung wird sich an den Jahrestherapiekosten der aktuell verfügbaren Antikörper zur Therapie gegen COVID-19 (Evusheld</w:t>
            </w:r>
            <w:r w:rsidRPr="00F62BB2">
              <w:rPr>
                <w:rFonts w:ascii="Arial Narrow" w:hAnsi="Arial Narrow"/>
                <w:sz w:val="22"/>
                <w:vertAlign w:val="superscript"/>
              </w:rPr>
              <w:t>®</w:t>
            </w:r>
            <w:r w:rsidRPr="00F62BB2">
              <w:rPr>
                <w:rFonts w:ascii="Arial Narrow" w:hAnsi="Arial Narrow"/>
                <w:sz w:val="22"/>
              </w:rPr>
              <w:t xml:space="preserve"> und Xevudy</w:t>
            </w:r>
            <w:r w:rsidRPr="00F62BB2">
              <w:rPr>
                <w:rFonts w:ascii="Arial Narrow" w:hAnsi="Arial Narrow"/>
                <w:sz w:val="22"/>
                <w:vertAlign w:val="superscript"/>
              </w:rPr>
              <w:t>®</w:t>
            </w:r>
            <w:r w:rsidRPr="00F62BB2">
              <w:rPr>
                <w:rFonts w:ascii="Arial Narrow" w:hAnsi="Arial Narrow"/>
                <w:sz w:val="22"/>
              </w:rPr>
              <w:t>) orientieren:</w:t>
            </w:r>
          </w:p>
          <w:p w14:paraId="679C09DE" w14:textId="77777777" w:rsidR="00F62BB2" w:rsidRPr="00F62BB2" w:rsidRDefault="00F62BB2" w:rsidP="00F62BB2">
            <w:pPr>
              <w:numPr>
                <w:ilvl w:val="0"/>
                <w:numId w:val="14"/>
              </w:numPr>
              <w:rPr>
                <w:rFonts w:ascii="Arial Narrow" w:hAnsi="Arial Narrow"/>
                <w:sz w:val="22"/>
              </w:rPr>
            </w:pPr>
            <w:r w:rsidRPr="00F62BB2">
              <w:rPr>
                <w:rFonts w:ascii="Arial Narrow" w:hAnsi="Arial Narrow"/>
                <w:sz w:val="22"/>
              </w:rPr>
              <w:t>Preisebene ApU: 1.490,56 € - 1.900 €</w:t>
            </w:r>
          </w:p>
          <w:p w14:paraId="7D03D20B" w14:textId="4D97BC38" w:rsidR="00156FE0" w:rsidRPr="00923312" w:rsidRDefault="00F62BB2" w:rsidP="007A314E">
            <w:pPr>
              <w:numPr>
                <w:ilvl w:val="0"/>
                <w:numId w:val="14"/>
              </w:numPr>
              <w:rPr>
                <w:rFonts w:ascii="Arial Narrow" w:hAnsi="Arial Narrow"/>
                <w:sz w:val="22"/>
              </w:rPr>
            </w:pPr>
            <w:r w:rsidRPr="00F62BB2">
              <w:rPr>
                <w:rFonts w:ascii="Arial Narrow" w:hAnsi="Arial Narrow"/>
                <w:sz w:val="22"/>
              </w:rPr>
              <w:t>Preisebene AVP: 1.884,63 € - 2.386,49 €</w:t>
            </w:r>
          </w:p>
        </w:tc>
      </w:tr>
    </w:tbl>
    <w:p w14:paraId="45E65153" w14:textId="77777777" w:rsidR="008E6675" w:rsidRPr="00923312" w:rsidRDefault="008E6675" w:rsidP="005638EB">
      <w:pPr>
        <w:rPr>
          <w:rFonts w:ascii="Arial Narrow" w:hAnsi="Arial Narrow"/>
          <w: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23312" w:rsidRPr="00923312" w14:paraId="0D84EF57" w14:textId="77777777">
        <w:tc>
          <w:tcPr>
            <w:tcW w:w="9212" w:type="dxa"/>
          </w:tcPr>
          <w:p w14:paraId="2FCAAE14" w14:textId="77777777" w:rsidR="008E6675" w:rsidRPr="00923312" w:rsidRDefault="008E6675" w:rsidP="005638EB">
            <w:pPr>
              <w:rPr>
                <w:rFonts w:ascii="Arial Narrow" w:hAnsi="Arial Narrow"/>
              </w:rPr>
            </w:pPr>
            <w:r w:rsidRPr="00923312">
              <w:rPr>
                <w:rFonts w:ascii="Arial Narrow" w:hAnsi="Arial Narrow"/>
                <w:b/>
                <w:sz w:val="22"/>
              </w:rPr>
              <w:t>Welche DRG(s) ist/sind am häufigsten von dieser Methode betroffen?</w:t>
            </w:r>
          </w:p>
        </w:tc>
      </w:tr>
      <w:tr w:rsidR="00923312" w:rsidRPr="00923312" w14:paraId="56F9F66E" w14:textId="77777777">
        <w:tc>
          <w:tcPr>
            <w:tcW w:w="9212" w:type="dxa"/>
          </w:tcPr>
          <w:p w14:paraId="3FDE8751" w14:textId="02B2F695" w:rsidR="008E6675" w:rsidRPr="00923312" w:rsidRDefault="00D6782E" w:rsidP="00AF5674">
            <w:pPr>
              <w:rPr>
                <w:rFonts w:ascii="Arial Narrow" w:hAnsi="Arial Narrow"/>
                <w:sz w:val="22"/>
              </w:rPr>
            </w:pPr>
            <w:r w:rsidRPr="00923312">
              <w:rPr>
                <w:rFonts w:ascii="Arial Narrow" w:hAnsi="Arial Narrow"/>
                <w:sz w:val="22"/>
              </w:rPr>
              <w:t>E79</w:t>
            </w:r>
            <w:r w:rsidR="00AF5674" w:rsidRPr="00923312">
              <w:rPr>
                <w:rFonts w:ascii="Arial Narrow" w:hAnsi="Arial Narrow"/>
                <w:sz w:val="22"/>
              </w:rPr>
              <w:t xml:space="preserve">, E75, </w:t>
            </w:r>
            <w:r w:rsidR="00F62BB2" w:rsidRPr="00923312">
              <w:rPr>
                <w:rFonts w:ascii="Arial Narrow" w:hAnsi="Arial Narrow"/>
                <w:sz w:val="22"/>
              </w:rPr>
              <w:t>Q60</w:t>
            </w:r>
            <w:r w:rsidR="00AF5674" w:rsidRPr="00923312">
              <w:rPr>
                <w:rFonts w:ascii="Arial Narrow" w:hAnsi="Arial Narrow"/>
                <w:sz w:val="22"/>
              </w:rPr>
              <w:t xml:space="preserve">, </w:t>
            </w:r>
            <w:r w:rsidR="00F62BB2" w:rsidRPr="00923312">
              <w:rPr>
                <w:rFonts w:ascii="Arial Narrow" w:hAnsi="Arial Narrow"/>
                <w:sz w:val="22"/>
              </w:rPr>
              <w:t>L60</w:t>
            </w:r>
            <w:r w:rsidR="00AF5674" w:rsidRPr="00923312">
              <w:rPr>
                <w:rFonts w:ascii="Arial Narrow" w:hAnsi="Arial Narrow"/>
                <w:sz w:val="22"/>
              </w:rPr>
              <w:t xml:space="preserve">, </w:t>
            </w:r>
            <w:r w:rsidR="00F62BB2" w:rsidRPr="00923312">
              <w:rPr>
                <w:rFonts w:ascii="Arial Narrow" w:hAnsi="Arial Narrow"/>
                <w:sz w:val="22"/>
              </w:rPr>
              <w:t>L70</w:t>
            </w:r>
            <w:r w:rsidR="00AF5674" w:rsidRPr="00923312">
              <w:rPr>
                <w:rFonts w:ascii="Arial Narrow" w:hAnsi="Arial Narrow"/>
                <w:sz w:val="22"/>
              </w:rPr>
              <w:t xml:space="preserve">, </w:t>
            </w:r>
            <w:r w:rsidR="00F62BB2" w:rsidRPr="00923312">
              <w:rPr>
                <w:rFonts w:ascii="Arial Narrow" w:hAnsi="Arial Narrow"/>
                <w:sz w:val="22"/>
              </w:rPr>
              <w:t>H62</w:t>
            </w:r>
            <w:r w:rsidR="00AF5674" w:rsidRPr="00923312">
              <w:rPr>
                <w:rFonts w:ascii="Arial Narrow" w:hAnsi="Arial Narrow"/>
                <w:sz w:val="22"/>
              </w:rPr>
              <w:t xml:space="preserve">, </w:t>
            </w:r>
            <w:r w:rsidR="00F62BB2" w:rsidRPr="00923312">
              <w:rPr>
                <w:rFonts w:ascii="Arial Narrow" w:hAnsi="Arial Narrow"/>
                <w:sz w:val="22"/>
              </w:rPr>
              <w:t>H60</w:t>
            </w:r>
            <w:r w:rsidR="00AF5674" w:rsidRPr="00923312">
              <w:rPr>
                <w:rFonts w:ascii="Arial Narrow" w:hAnsi="Arial Narrow"/>
                <w:sz w:val="22"/>
              </w:rPr>
              <w:t xml:space="preserve">, </w:t>
            </w:r>
            <w:r w:rsidR="00F62BB2" w:rsidRPr="00923312">
              <w:rPr>
                <w:rFonts w:ascii="Arial Narrow" w:hAnsi="Arial Narrow"/>
                <w:sz w:val="22"/>
              </w:rPr>
              <w:t>R61</w:t>
            </w:r>
            <w:r w:rsidR="00AF5674" w:rsidRPr="00923312">
              <w:rPr>
                <w:rFonts w:ascii="Arial Narrow" w:hAnsi="Arial Narrow"/>
                <w:sz w:val="22"/>
              </w:rPr>
              <w:t xml:space="preserve">, </w:t>
            </w:r>
            <w:r w:rsidR="00F62BB2" w:rsidRPr="00923312">
              <w:rPr>
                <w:rFonts w:ascii="Arial Narrow" w:hAnsi="Arial Narrow"/>
                <w:sz w:val="22"/>
              </w:rPr>
              <w:t>D08</w:t>
            </w:r>
            <w:r w:rsidR="00AF5674" w:rsidRPr="00923312">
              <w:rPr>
                <w:rFonts w:ascii="Arial Narrow" w:hAnsi="Arial Narrow"/>
                <w:sz w:val="22"/>
              </w:rPr>
              <w:t xml:space="preserve">, </w:t>
            </w:r>
            <w:r w:rsidR="00F62BB2" w:rsidRPr="00923312">
              <w:rPr>
                <w:rFonts w:ascii="Arial Narrow" w:hAnsi="Arial Narrow"/>
                <w:sz w:val="22"/>
              </w:rPr>
              <w:t>D60</w:t>
            </w:r>
            <w:r w:rsidR="00AF5674" w:rsidRPr="00923312">
              <w:rPr>
                <w:rFonts w:ascii="Arial Narrow" w:hAnsi="Arial Narrow"/>
                <w:sz w:val="22"/>
              </w:rPr>
              <w:t xml:space="preserve">, </w:t>
            </w:r>
            <w:r w:rsidR="00F62BB2" w:rsidRPr="00923312">
              <w:rPr>
                <w:rFonts w:ascii="Arial Narrow" w:hAnsi="Arial Narrow"/>
                <w:sz w:val="22"/>
              </w:rPr>
              <w:t>G60</w:t>
            </w:r>
          </w:p>
        </w:tc>
      </w:tr>
    </w:tbl>
    <w:p w14:paraId="4E6FC927" w14:textId="77777777" w:rsidR="008E6675" w:rsidRPr="00923312" w:rsidRDefault="008E6675" w:rsidP="005638EB">
      <w:pPr>
        <w:rPr>
          <w:rFonts w:ascii="Arial Narrow" w:hAnsi="Arial Narrow"/>
          <w: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23312" w:rsidRPr="00923312" w14:paraId="4E9DF4AB" w14:textId="77777777">
        <w:tc>
          <w:tcPr>
            <w:tcW w:w="9212" w:type="dxa"/>
          </w:tcPr>
          <w:p w14:paraId="3184CC4A" w14:textId="77777777" w:rsidR="008E6675" w:rsidRPr="00923312" w:rsidRDefault="008E6675" w:rsidP="005638EB">
            <w:pPr>
              <w:rPr>
                <w:rFonts w:ascii="Arial Narrow" w:hAnsi="Arial Narrow"/>
              </w:rPr>
            </w:pPr>
            <w:r w:rsidRPr="00923312">
              <w:rPr>
                <w:rFonts w:ascii="Arial Narrow" w:hAnsi="Arial Narrow"/>
                <w:b/>
                <w:sz w:val="22"/>
              </w:rPr>
              <w:t>Warum ist diese Methode aus Ihrer Sicht derzeit im G-DRG-System nicht sachgerecht abgebildet?</w:t>
            </w:r>
          </w:p>
        </w:tc>
      </w:tr>
      <w:tr w:rsidR="00923312" w:rsidRPr="00923312" w14:paraId="3100E4A7" w14:textId="77777777">
        <w:tc>
          <w:tcPr>
            <w:tcW w:w="9212" w:type="dxa"/>
          </w:tcPr>
          <w:p w14:paraId="0C06450C" w14:textId="3CB9BC11" w:rsidR="006549F4" w:rsidRPr="00923312" w:rsidRDefault="00F62BB2" w:rsidP="006549F4">
            <w:pPr>
              <w:rPr>
                <w:rFonts w:ascii="Arial Narrow" w:hAnsi="Arial Narrow"/>
                <w:sz w:val="22"/>
              </w:rPr>
            </w:pPr>
            <w:r w:rsidRPr="00923312">
              <w:rPr>
                <w:rFonts w:ascii="Arial Narrow" w:hAnsi="Arial Narrow"/>
                <w:sz w:val="22"/>
              </w:rPr>
              <w:t>Sipavibart wird voraussichtlich</w:t>
            </w:r>
            <w:r w:rsidR="006549F4" w:rsidRPr="00923312">
              <w:rPr>
                <w:rFonts w:ascii="Arial Narrow" w:hAnsi="Arial Narrow"/>
                <w:sz w:val="22"/>
              </w:rPr>
              <w:t xml:space="preserve"> erst </w:t>
            </w:r>
            <w:r w:rsidRPr="00923312">
              <w:rPr>
                <w:rFonts w:ascii="Arial Narrow" w:hAnsi="Arial Narrow"/>
                <w:sz w:val="22"/>
              </w:rPr>
              <w:t xml:space="preserve">in Q4/2024 </w:t>
            </w:r>
            <w:r w:rsidR="006549F4" w:rsidRPr="00923312">
              <w:rPr>
                <w:rFonts w:ascii="Arial Narrow" w:hAnsi="Arial Narrow"/>
                <w:sz w:val="22"/>
              </w:rPr>
              <w:t xml:space="preserve">in Deutschland auf </w:t>
            </w:r>
            <w:r w:rsidRPr="00923312">
              <w:rPr>
                <w:rFonts w:ascii="Arial Narrow" w:hAnsi="Arial Narrow"/>
                <w:sz w:val="22"/>
              </w:rPr>
              <w:t>den Markt kommen.</w:t>
            </w:r>
            <w:r w:rsidR="006549F4" w:rsidRPr="00923312">
              <w:rPr>
                <w:rFonts w:ascii="Arial Narrow" w:hAnsi="Arial Narrow"/>
                <w:sz w:val="22"/>
              </w:rPr>
              <w:t xml:space="preserve"> </w:t>
            </w:r>
          </w:p>
          <w:p w14:paraId="67938C43" w14:textId="68160CC8" w:rsidR="006549F4" w:rsidRPr="00923312" w:rsidRDefault="001774E7" w:rsidP="006549F4">
            <w:pPr>
              <w:rPr>
                <w:rFonts w:ascii="Arial Narrow" w:hAnsi="Arial Narrow"/>
                <w:sz w:val="22"/>
              </w:rPr>
            </w:pPr>
            <w:r w:rsidRPr="00923312">
              <w:rPr>
                <w:rFonts w:ascii="Arial Narrow" w:hAnsi="Arial Narrow"/>
                <w:sz w:val="22"/>
              </w:rPr>
              <w:t>Für das Datenjahr 202</w:t>
            </w:r>
            <w:r w:rsidR="004736E4" w:rsidRPr="00923312">
              <w:rPr>
                <w:rFonts w:ascii="Arial Narrow" w:hAnsi="Arial Narrow"/>
                <w:sz w:val="22"/>
              </w:rPr>
              <w:t>3</w:t>
            </w:r>
            <w:r w:rsidR="006549F4" w:rsidRPr="00923312">
              <w:rPr>
                <w:rFonts w:ascii="Arial Narrow" w:hAnsi="Arial Narrow"/>
                <w:sz w:val="22"/>
              </w:rPr>
              <w:t xml:space="preserve"> können </w:t>
            </w:r>
            <w:r w:rsidR="00A100DC" w:rsidRPr="00923312">
              <w:rPr>
                <w:rFonts w:ascii="Arial Narrow" w:hAnsi="Arial Narrow"/>
                <w:sz w:val="22"/>
              </w:rPr>
              <w:t xml:space="preserve">daher </w:t>
            </w:r>
            <w:r w:rsidR="006549F4" w:rsidRPr="00923312">
              <w:rPr>
                <w:rFonts w:ascii="Arial Narrow" w:hAnsi="Arial Narrow"/>
                <w:sz w:val="22"/>
              </w:rPr>
              <w:t xml:space="preserve">aus den Kalkulationshäusern keine Kostendaten für den Einsatz vorliegen. </w:t>
            </w:r>
          </w:p>
          <w:p w14:paraId="2278DB4E" w14:textId="4D276037" w:rsidR="006549F4" w:rsidRPr="00923312" w:rsidRDefault="006549F4" w:rsidP="006549F4">
            <w:pPr>
              <w:rPr>
                <w:rFonts w:ascii="Arial Narrow" w:hAnsi="Arial Narrow"/>
                <w:sz w:val="22"/>
              </w:rPr>
            </w:pPr>
            <w:bookmarkStart w:id="2" w:name="_Hlk83811057"/>
            <w:r w:rsidRPr="00923312">
              <w:rPr>
                <w:rFonts w:ascii="Arial Narrow" w:hAnsi="Arial Narrow"/>
                <w:sz w:val="22"/>
              </w:rPr>
              <w:t xml:space="preserve">Eine sachgerechte Abbildung im G-DRG System </w:t>
            </w:r>
            <w:r w:rsidR="00ED4386" w:rsidRPr="00923312">
              <w:rPr>
                <w:rFonts w:ascii="Arial Narrow" w:hAnsi="Arial Narrow"/>
                <w:sz w:val="22"/>
              </w:rPr>
              <w:t>202</w:t>
            </w:r>
            <w:r w:rsidR="004736E4" w:rsidRPr="00923312">
              <w:rPr>
                <w:rFonts w:ascii="Arial Narrow" w:hAnsi="Arial Narrow"/>
                <w:sz w:val="22"/>
              </w:rPr>
              <w:t>5</w:t>
            </w:r>
            <w:r w:rsidR="00ED4386" w:rsidRPr="00923312">
              <w:rPr>
                <w:rFonts w:ascii="Arial Narrow" w:hAnsi="Arial Narrow"/>
                <w:sz w:val="22"/>
              </w:rPr>
              <w:t xml:space="preserve"> </w:t>
            </w:r>
            <w:r w:rsidRPr="00923312">
              <w:rPr>
                <w:rFonts w:ascii="Arial Narrow" w:hAnsi="Arial Narrow"/>
                <w:sz w:val="22"/>
              </w:rPr>
              <w:t>wird damit nicht möglich.</w:t>
            </w:r>
          </w:p>
          <w:p w14:paraId="108055E7" w14:textId="606AE099" w:rsidR="001774E7" w:rsidRPr="00923312" w:rsidRDefault="006549F4" w:rsidP="006549F4">
            <w:pPr>
              <w:rPr>
                <w:rFonts w:ascii="Arial Narrow" w:hAnsi="Arial Narrow"/>
                <w:sz w:val="22"/>
              </w:rPr>
            </w:pPr>
            <w:r w:rsidRPr="00923312">
              <w:rPr>
                <w:rFonts w:ascii="Arial Narrow" w:hAnsi="Arial Narrow"/>
                <w:sz w:val="22"/>
              </w:rPr>
              <w:t>Die zusätzlichen Kosten können aber mit der</w:t>
            </w:r>
            <w:r w:rsidR="00A100DC" w:rsidRPr="00923312">
              <w:rPr>
                <w:rFonts w:ascii="Arial Narrow" w:hAnsi="Arial Narrow"/>
                <w:sz w:val="22"/>
              </w:rPr>
              <w:t>/den o.g.</w:t>
            </w:r>
            <w:r w:rsidRPr="00923312">
              <w:rPr>
                <w:rFonts w:ascii="Arial Narrow" w:hAnsi="Arial Narrow"/>
                <w:sz w:val="22"/>
              </w:rPr>
              <w:t xml:space="preserve"> Fallpauschale</w:t>
            </w:r>
            <w:r w:rsidR="00A100DC" w:rsidRPr="00923312">
              <w:rPr>
                <w:rFonts w:ascii="Arial Narrow" w:hAnsi="Arial Narrow"/>
                <w:sz w:val="22"/>
              </w:rPr>
              <w:t>(n)</w:t>
            </w:r>
            <w:r w:rsidRPr="00923312">
              <w:rPr>
                <w:rFonts w:ascii="Arial Narrow" w:hAnsi="Arial Narrow"/>
                <w:sz w:val="22"/>
              </w:rPr>
              <w:t xml:space="preserve"> allein nicht ausreichend abgebildet werden. Aufgrund der hohen Kosten des Medikaments kommt es zu einer </w:t>
            </w:r>
            <w:r w:rsidR="00454847" w:rsidRPr="00923312">
              <w:rPr>
                <w:rFonts w:ascii="Arial Narrow" w:hAnsi="Arial Narrow"/>
                <w:sz w:val="22"/>
              </w:rPr>
              <w:t xml:space="preserve">Unterfinanzierung </w:t>
            </w:r>
            <w:r w:rsidRPr="00923312">
              <w:rPr>
                <w:rFonts w:ascii="Arial Narrow" w:hAnsi="Arial Narrow"/>
                <w:sz w:val="22"/>
              </w:rPr>
              <w:t xml:space="preserve">in </w:t>
            </w:r>
            <w:r w:rsidR="00620855" w:rsidRPr="00923312">
              <w:rPr>
                <w:rFonts w:ascii="Arial Narrow" w:hAnsi="Arial Narrow"/>
                <w:sz w:val="22"/>
              </w:rPr>
              <w:t xml:space="preserve">den entsprechenden Fällen </w:t>
            </w:r>
            <w:r w:rsidRPr="00923312">
              <w:rPr>
                <w:rFonts w:ascii="Arial Narrow" w:hAnsi="Arial Narrow"/>
                <w:sz w:val="22"/>
              </w:rPr>
              <w:t>der betroffenen DRG</w:t>
            </w:r>
            <w:r w:rsidR="00620855" w:rsidRPr="00923312">
              <w:rPr>
                <w:rFonts w:ascii="Arial Narrow" w:hAnsi="Arial Narrow"/>
                <w:sz w:val="22"/>
              </w:rPr>
              <w:t>(s)</w:t>
            </w:r>
            <w:r w:rsidRPr="00923312">
              <w:rPr>
                <w:rFonts w:ascii="Arial Narrow" w:hAnsi="Arial Narrow"/>
                <w:sz w:val="22"/>
              </w:rPr>
              <w:t>.</w:t>
            </w:r>
            <w:bookmarkEnd w:id="2"/>
          </w:p>
          <w:p w14:paraId="222643B9" w14:textId="76748C47" w:rsidR="008E6675" w:rsidRPr="00923312" w:rsidRDefault="00F62BB2" w:rsidP="0004094A">
            <w:pPr>
              <w:rPr>
                <w:rFonts w:ascii="Arial Narrow" w:hAnsi="Arial Narrow"/>
                <w:sz w:val="22"/>
              </w:rPr>
            </w:pPr>
            <w:r w:rsidRPr="00923312">
              <w:rPr>
                <w:rFonts w:ascii="Arial Narrow" w:hAnsi="Arial Narrow"/>
                <w:sz w:val="22"/>
              </w:rPr>
              <w:t>Tixagevimab/Cilgavimab</w:t>
            </w:r>
            <w:r w:rsidR="001774E7" w:rsidRPr="00923312">
              <w:rPr>
                <w:rFonts w:ascii="Arial Narrow" w:hAnsi="Arial Narrow"/>
                <w:sz w:val="22"/>
              </w:rPr>
              <w:t xml:space="preserve"> </w:t>
            </w:r>
            <w:r w:rsidR="00AF5674" w:rsidRPr="00923312">
              <w:rPr>
                <w:rFonts w:ascii="Arial Narrow" w:hAnsi="Arial Narrow"/>
                <w:sz w:val="22"/>
              </w:rPr>
              <w:t xml:space="preserve">(Evusheld) </w:t>
            </w:r>
            <w:r w:rsidR="001774E7" w:rsidRPr="00923312">
              <w:rPr>
                <w:rFonts w:ascii="Arial Narrow" w:hAnsi="Arial Narrow"/>
                <w:sz w:val="22"/>
              </w:rPr>
              <w:t xml:space="preserve">hatte bereits für </w:t>
            </w:r>
            <w:r w:rsidRPr="00923312">
              <w:rPr>
                <w:rFonts w:ascii="Arial Narrow" w:hAnsi="Arial Narrow"/>
                <w:sz w:val="22"/>
              </w:rPr>
              <w:t xml:space="preserve">2023 und </w:t>
            </w:r>
            <w:r w:rsidR="001774E7" w:rsidRPr="00923312">
              <w:rPr>
                <w:rFonts w:ascii="Arial Narrow" w:hAnsi="Arial Narrow"/>
                <w:sz w:val="22"/>
              </w:rPr>
              <w:t>202</w:t>
            </w:r>
            <w:r w:rsidR="004736E4" w:rsidRPr="00923312">
              <w:rPr>
                <w:rFonts w:ascii="Arial Narrow" w:hAnsi="Arial Narrow"/>
                <w:sz w:val="22"/>
              </w:rPr>
              <w:t>4</w:t>
            </w:r>
            <w:r w:rsidR="001774E7" w:rsidRPr="00923312">
              <w:rPr>
                <w:rFonts w:ascii="Arial Narrow" w:hAnsi="Arial Narrow"/>
                <w:sz w:val="22"/>
              </w:rPr>
              <w:t xml:space="preserve"> den Status 1.</w:t>
            </w:r>
          </w:p>
        </w:tc>
      </w:tr>
    </w:tbl>
    <w:p w14:paraId="0A50A959" w14:textId="77777777" w:rsidR="008E6675" w:rsidRPr="00923312" w:rsidRDefault="008E6675" w:rsidP="005638EB">
      <w:pPr>
        <w:rPr>
          <w:rFonts w:ascii="Arial Narrow" w:hAnsi="Arial Narrow"/>
        </w:rPr>
      </w:pPr>
    </w:p>
    <w:sectPr w:rsidR="008E6675" w:rsidRPr="00923312" w:rsidSect="004E1D02">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BC70C" w14:textId="77777777" w:rsidR="00282A8C" w:rsidRDefault="00282A8C">
      <w:r>
        <w:separator/>
      </w:r>
    </w:p>
  </w:endnote>
  <w:endnote w:type="continuationSeparator" w:id="0">
    <w:p w14:paraId="6C8684A3" w14:textId="77777777" w:rsidR="00282A8C" w:rsidRDefault="00282A8C">
      <w:r>
        <w:continuationSeparator/>
      </w:r>
    </w:p>
  </w:endnote>
  <w:endnote w:type="continuationNotice" w:id="1">
    <w:p w14:paraId="032F4313" w14:textId="77777777" w:rsidR="00282A8C" w:rsidRDefault="00282A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76D3D" w14:textId="408EB756" w:rsidR="00F64982" w:rsidRPr="00435583" w:rsidRDefault="00F64982" w:rsidP="00435583">
    <w:pPr>
      <w:pStyle w:val="Fuzeile"/>
      <w:rPr>
        <w:rFonts w:ascii="Arial Narrow" w:hAnsi="Arial Narrow"/>
        <w:sz w:val="20"/>
        <w:szCs w:val="20"/>
      </w:rPr>
    </w:pPr>
    <w:r w:rsidRPr="00435583">
      <w:rPr>
        <w:rFonts w:ascii="Arial Narrow" w:hAnsi="Arial Narrow"/>
        <w:sz w:val="20"/>
        <w:szCs w:val="20"/>
      </w:rPr>
      <w:t xml:space="preserve">NUB-Musteranfrage </w:t>
    </w:r>
    <w:r w:rsidR="004B25EA">
      <w:rPr>
        <w:rFonts w:ascii="Arial Narrow" w:hAnsi="Arial Narrow"/>
        <w:sz w:val="20"/>
        <w:szCs w:val="20"/>
      </w:rPr>
      <w:t>Sipavibart</w:t>
    </w:r>
  </w:p>
  <w:p w14:paraId="2746125E" w14:textId="13798A99" w:rsidR="00F64982" w:rsidRPr="00435583" w:rsidRDefault="00F64982" w:rsidP="00435583">
    <w:pPr>
      <w:pStyle w:val="Fuzeile"/>
      <w:rPr>
        <w:rFonts w:ascii="Arial Narrow" w:hAnsi="Arial Narrow"/>
        <w:sz w:val="20"/>
        <w:szCs w:val="20"/>
      </w:rPr>
    </w:pPr>
    <w:r w:rsidRPr="00435583">
      <w:rPr>
        <w:rFonts w:ascii="Arial Narrow" w:hAnsi="Arial Narrow"/>
        <w:sz w:val="20"/>
        <w:szCs w:val="20"/>
      </w:rPr>
      <w:t>www.</w:t>
    </w:r>
    <w:r w:rsidR="004B25EA">
      <w:rPr>
        <w:rFonts w:ascii="Arial Narrow" w:hAnsi="Arial Narrow"/>
        <w:sz w:val="20"/>
        <w:szCs w:val="20"/>
      </w:rPr>
      <w:t>dgi.</w:t>
    </w:r>
    <w:r w:rsidRPr="00435583">
      <w:rPr>
        <w:rFonts w:ascii="Arial Narrow" w:hAnsi="Arial Narrow"/>
        <w:sz w:val="20"/>
        <w:szCs w:val="20"/>
      </w:rPr>
      <w:t>de</w:t>
    </w:r>
  </w:p>
  <w:p w14:paraId="463B5D71" w14:textId="6B6DD8AF" w:rsidR="00F64982" w:rsidRPr="004B25EA" w:rsidRDefault="005F5DF9" w:rsidP="00435583">
    <w:pPr>
      <w:pStyle w:val="Fuzeile"/>
      <w:rPr>
        <w:rFonts w:ascii="Arial Narrow" w:hAnsi="Arial Narrow"/>
        <w:sz w:val="20"/>
        <w:szCs w:val="20"/>
      </w:rPr>
    </w:pPr>
    <w:r w:rsidRPr="004B25EA">
      <w:rPr>
        <w:rFonts w:ascii="Arial Narrow" w:hAnsi="Arial Narrow"/>
        <w:sz w:val="20"/>
        <w:szCs w:val="20"/>
      </w:rPr>
      <w:t xml:space="preserve">Seite </w:t>
    </w:r>
    <w:r w:rsidRPr="004B25EA">
      <w:rPr>
        <w:rFonts w:ascii="Arial Narrow" w:hAnsi="Arial Narrow"/>
        <w:sz w:val="20"/>
        <w:szCs w:val="20"/>
      </w:rPr>
      <w:fldChar w:fldCharType="begin"/>
    </w:r>
    <w:r w:rsidRPr="004B25EA">
      <w:rPr>
        <w:rFonts w:ascii="Arial Narrow" w:hAnsi="Arial Narrow"/>
        <w:sz w:val="20"/>
        <w:szCs w:val="20"/>
      </w:rPr>
      <w:instrText>PAGE  \* Arabic  \* MERGEFORMAT</w:instrText>
    </w:r>
    <w:r w:rsidRPr="004B25EA">
      <w:rPr>
        <w:rFonts w:ascii="Arial Narrow" w:hAnsi="Arial Narrow"/>
        <w:sz w:val="20"/>
        <w:szCs w:val="20"/>
      </w:rPr>
      <w:fldChar w:fldCharType="separate"/>
    </w:r>
    <w:r w:rsidRPr="004B25EA">
      <w:rPr>
        <w:rFonts w:ascii="Arial Narrow" w:hAnsi="Arial Narrow"/>
        <w:sz w:val="20"/>
        <w:szCs w:val="20"/>
      </w:rPr>
      <w:t>1</w:t>
    </w:r>
    <w:r w:rsidRPr="004B25EA">
      <w:rPr>
        <w:rFonts w:ascii="Arial Narrow" w:hAnsi="Arial Narrow"/>
        <w:sz w:val="20"/>
        <w:szCs w:val="20"/>
      </w:rPr>
      <w:fldChar w:fldCharType="end"/>
    </w:r>
    <w:r w:rsidRPr="004B25EA">
      <w:rPr>
        <w:rFonts w:ascii="Arial Narrow" w:hAnsi="Arial Narrow"/>
        <w:sz w:val="20"/>
        <w:szCs w:val="20"/>
      </w:rPr>
      <w:t xml:space="preserve"> von </w:t>
    </w:r>
    <w:r w:rsidRPr="004B25EA">
      <w:rPr>
        <w:rFonts w:ascii="Arial Narrow" w:hAnsi="Arial Narrow"/>
        <w:sz w:val="20"/>
        <w:szCs w:val="20"/>
      </w:rPr>
      <w:fldChar w:fldCharType="begin"/>
    </w:r>
    <w:r w:rsidRPr="004B25EA">
      <w:rPr>
        <w:rFonts w:ascii="Arial Narrow" w:hAnsi="Arial Narrow"/>
        <w:sz w:val="20"/>
        <w:szCs w:val="20"/>
      </w:rPr>
      <w:instrText>NUMPAGES  \* Arabic  \* MERGEFORMAT</w:instrText>
    </w:r>
    <w:r w:rsidRPr="004B25EA">
      <w:rPr>
        <w:rFonts w:ascii="Arial Narrow" w:hAnsi="Arial Narrow"/>
        <w:sz w:val="20"/>
        <w:szCs w:val="20"/>
      </w:rPr>
      <w:fldChar w:fldCharType="separate"/>
    </w:r>
    <w:r w:rsidRPr="004B25EA">
      <w:rPr>
        <w:rFonts w:ascii="Arial Narrow" w:hAnsi="Arial Narrow"/>
        <w:sz w:val="20"/>
        <w:szCs w:val="20"/>
      </w:rPr>
      <w:t>2</w:t>
    </w:r>
    <w:r w:rsidRPr="004B25EA">
      <w:rPr>
        <w:rFonts w:ascii="Arial Narrow" w:hAnsi="Arial Narrow"/>
        <w:sz w:val="20"/>
        <w:szCs w:val="20"/>
      </w:rPr>
      <w:fldChar w:fldCharType="end"/>
    </w:r>
  </w:p>
  <w:p w14:paraId="6E7C81DA" w14:textId="3182AA64" w:rsidR="00F64982" w:rsidRPr="00435583" w:rsidRDefault="004B25EA" w:rsidP="00435583">
    <w:pPr>
      <w:rPr>
        <w:sz w:val="20"/>
        <w:szCs w:val="20"/>
      </w:rPr>
    </w:pPr>
    <w:bookmarkStart w:id="3" w:name="_Hlk139466795"/>
    <w:bookmarkStart w:id="4" w:name="_Hlk139466796"/>
    <w:bookmarkStart w:id="5" w:name="_Hlk139616808"/>
    <w:bookmarkStart w:id="6" w:name="_Hlk139616809"/>
    <w:r w:rsidRPr="004B25EA">
      <w:rPr>
        <w:rFonts w:ascii="Arial Narrow" w:hAnsi="Arial Narrow"/>
        <w:sz w:val="20"/>
        <w:szCs w:val="20"/>
      </w:rPr>
      <w:t>Sipavibart</w:t>
    </w:r>
    <w:r w:rsidR="00F64982" w:rsidRPr="004B25EA">
      <w:rPr>
        <w:rFonts w:ascii="Arial Narrow" w:hAnsi="Arial Narrow"/>
        <w:sz w:val="20"/>
        <w:szCs w:val="20"/>
      </w:rPr>
      <w:t>_</w:t>
    </w:r>
    <w:r w:rsidR="00620855" w:rsidRPr="004B25EA">
      <w:rPr>
        <w:rFonts w:ascii="Arial Narrow" w:hAnsi="Arial Narrow"/>
        <w:sz w:val="20"/>
        <w:szCs w:val="20"/>
      </w:rPr>
      <w:t>NUB-Anfrage-</w:t>
    </w:r>
    <w:r w:rsidRPr="004B25EA">
      <w:rPr>
        <w:rFonts w:ascii="Arial Narrow" w:hAnsi="Arial Narrow"/>
        <w:sz w:val="20"/>
        <w:szCs w:val="20"/>
      </w:rPr>
      <w:t>DGI</w:t>
    </w:r>
    <w:r w:rsidR="00620855" w:rsidRPr="004B25EA">
      <w:rPr>
        <w:rFonts w:ascii="Arial Narrow" w:hAnsi="Arial Narrow"/>
        <w:sz w:val="20"/>
        <w:szCs w:val="20"/>
      </w:rPr>
      <w:t>_</w:t>
    </w:r>
    <w:r w:rsidR="00F64982" w:rsidRPr="004B25EA">
      <w:rPr>
        <w:rFonts w:ascii="Arial Narrow" w:hAnsi="Arial Narrow"/>
        <w:sz w:val="20"/>
        <w:szCs w:val="20"/>
      </w:rPr>
      <w:t xml:space="preserve">Stand </w:t>
    </w:r>
    <w:bookmarkEnd w:id="3"/>
    <w:bookmarkEnd w:id="4"/>
    <w:bookmarkEnd w:id="5"/>
    <w:bookmarkEnd w:id="6"/>
    <w:r w:rsidRPr="004B25EA">
      <w:rPr>
        <w:rFonts w:ascii="Arial Narrow" w:hAnsi="Arial Narrow"/>
        <w:sz w:val="20"/>
        <w:szCs w:val="20"/>
      </w:rPr>
      <w:t>2024-10-16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36BDC1" w14:textId="77777777" w:rsidR="00282A8C" w:rsidRDefault="00282A8C">
      <w:r>
        <w:separator/>
      </w:r>
    </w:p>
  </w:footnote>
  <w:footnote w:type="continuationSeparator" w:id="0">
    <w:p w14:paraId="061A9DA3" w14:textId="77777777" w:rsidR="00282A8C" w:rsidRDefault="00282A8C">
      <w:r>
        <w:continuationSeparator/>
      </w:r>
    </w:p>
  </w:footnote>
  <w:footnote w:type="continuationNotice" w:id="1">
    <w:p w14:paraId="0BB419B0" w14:textId="77777777" w:rsidR="00282A8C" w:rsidRDefault="00282A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58799" w14:textId="7196860B" w:rsidR="00F64982" w:rsidRPr="004C4F82" w:rsidRDefault="00F64982" w:rsidP="00596F9A">
    <w:pPr>
      <w:pStyle w:val="Titel"/>
      <w:rPr>
        <w:sz w:val="48"/>
      </w:rPr>
    </w:pPr>
    <w:r w:rsidRPr="004C4F82">
      <w:rPr>
        <w:sz w:val="48"/>
      </w:rPr>
      <w:t>NUB Antrag 20</w:t>
    </w:r>
    <w:r>
      <w:rPr>
        <w:sz w:val="48"/>
      </w:rPr>
      <w:t>2</w:t>
    </w:r>
    <w:r w:rsidR="00F1327C">
      <w:rPr>
        <w:sz w:val="48"/>
      </w:rPr>
      <w:t>4</w:t>
    </w:r>
    <w:r w:rsidRPr="004C4F82">
      <w:rPr>
        <w:sz w:val="48"/>
      </w:rPr>
      <w:t>/20</w:t>
    </w:r>
    <w:r>
      <w:rPr>
        <w:sz w:val="48"/>
      </w:rPr>
      <w:t>2</w:t>
    </w:r>
    <w:r w:rsidR="00F1327C">
      <w:rPr>
        <w:sz w:val="48"/>
      </w:rPr>
      <w:t>5</w:t>
    </w:r>
    <w:r w:rsidRPr="004C4F82">
      <w:rPr>
        <w:sz w:val="48"/>
      </w:rPr>
      <w:t xml:space="preserve"> </w:t>
    </w:r>
  </w:p>
  <w:p w14:paraId="2D6FE634" w14:textId="480723EB" w:rsidR="00F64982" w:rsidRPr="004C4F82" w:rsidRDefault="004B25EA" w:rsidP="00596F9A">
    <w:pPr>
      <w:pStyle w:val="Titel"/>
      <w:rPr>
        <w:sz w:val="48"/>
      </w:rPr>
    </w:pPr>
    <w:r>
      <w:rPr>
        <w:sz w:val="48"/>
      </w:rPr>
      <w:t>Sipavibart</w:t>
    </w:r>
  </w:p>
  <w:p w14:paraId="38DF28C4" w14:textId="77777777" w:rsidR="00F64982" w:rsidRDefault="00F6498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D5865"/>
    <w:multiLevelType w:val="hybridMultilevel"/>
    <w:tmpl w:val="B9F2033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C1B2B83"/>
    <w:multiLevelType w:val="multilevel"/>
    <w:tmpl w:val="1D4663A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5C1CCB"/>
    <w:multiLevelType w:val="multilevel"/>
    <w:tmpl w:val="7D024176"/>
    <w:lvl w:ilvl="0">
      <w:start w:val="1"/>
      <w:numFmt w:val="decimal"/>
      <w:lvlText w:val="%1"/>
      <w:lvlJc w:val="left"/>
      <w:pPr>
        <w:tabs>
          <w:tab w:val="num" w:pos="360"/>
        </w:tabs>
        <w:ind w:left="360" w:hanging="360"/>
      </w:pPr>
      <w:rPr>
        <w:rFonts w:cs="Times New Roman" w:hint="default"/>
        <w:b w:val="0"/>
      </w:rPr>
    </w:lvl>
    <w:lvl w:ilvl="1">
      <w:start w:val="4"/>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3" w15:restartNumberingAfterBreak="0">
    <w:nsid w:val="0F8C1304"/>
    <w:multiLevelType w:val="hybridMultilevel"/>
    <w:tmpl w:val="49187E7A"/>
    <w:lvl w:ilvl="0" w:tplc="F4DC3A5A">
      <w:start w:val="1"/>
      <w:numFmt w:val="bullet"/>
      <w:lvlText w:val=""/>
      <w:lvlJc w:val="left"/>
      <w:pPr>
        <w:tabs>
          <w:tab w:val="num" w:pos="720"/>
        </w:tabs>
        <w:ind w:left="720" w:hanging="360"/>
      </w:pPr>
      <w:rPr>
        <w:rFonts w:ascii="Symbol" w:hAnsi="Symbol" w:hint="default"/>
        <w:sz w:val="20"/>
      </w:rPr>
    </w:lvl>
    <w:lvl w:ilvl="1" w:tplc="22CA003C" w:tentative="1">
      <w:start w:val="1"/>
      <w:numFmt w:val="bullet"/>
      <w:lvlText w:val="o"/>
      <w:lvlJc w:val="left"/>
      <w:pPr>
        <w:tabs>
          <w:tab w:val="num" w:pos="1440"/>
        </w:tabs>
        <w:ind w:left="1440" w:hanging="360"/>
      </w:pPr>
      <w:rPr>
        <w:rFonts w:ascii="Courier New" w:hAnsi="Courier New" w:hint="default"/>
        <w:sz w:val="20"/>
      </w:rPr>
    </w:lvl>
    <w:lvl w:ilvl="2" w:tplc="69B6E4CA" w:tentative="1">
      <w:start w:val="1"/>
      <w:numFmt w:val="bullet"/>
      <w:lvlText w:val=""/>
      <w:lvlJc w:val="left"/>
      <w:pPr>
        <w:tabs>
          <w:tab w:val="num" w:pos="2160"/>
        </w:tabs>
        <w:ind w:left="2160" w:hanging="360"/>
      </w:pPr>
      <w:rPr>
        <w:rFonts w:ascii="Wingdings" w:hAnsi="Wingdings" w:hint="default"/>
        <w:sz w:val="20"/>
      </w:rPr>
    </w:lvl>
    <w:lvl w:ilvl="3" w:tplc="D0E6B0AC" w:tentative="1">
      <w:start w:val="1"/>
      <w:numFmt w:val="bullet"/>
      <w:lvlText w:val=""/>
      <w:lvlJc w:val="left"/>
      <w:pPr>
        <w:tabs>
          <w:tab w:val="num" w:pos="2880"/>
        </w:tabs>
        <w:ind w:left="2880" w:hanging="360"/>
      </w:pPr>
      <w:rPr>
        <w:rFonts w:ascii="Wingdings" w:hAnsi="Wingdings" w:hint="default"/>
        <w:sz w:val="20"/>
      </w:rPr>
    </w:lvl>
    <w:lvl w:ilvl="4" w:tplc="32A8AE62" w:tentative="1">
      <w:start w:val="1"/>
      <w:numFmt w:val="bullet"/>
      <w:lvlText w:val=""/>
      <w:lvlJc w:val="left"/>
      <w:pPr>
        <w:tabs>
          <w:tab w:val="num" w:pos="3600"/>
        </w:tabs>
        <w:ind w:left="3600" w:hanging="360"/>
      </w:pPr>
      <w:rPr>
        <w:rFonts w:ascii="Wingdings" w:hAnsi="Wingdings" w:hint="default"/>
        <w:sz w:val="20"/>
      </w:rPr>
    </w:lvl>
    <w:lvl w:ilvl="5" w:tplc="91AC12EA" w:tentative="1">
      <w:start w:val="1"/>
      <w:numFmt w:val="bullet"/>
      <w:lvlText w:val=""/>
      <w:lvlJc w:val="left"/>
      <w:pPr>
        <w:tabs>
          <w:tab w:val="num" w:pos="4320"/>
        </w:tabs>
        <w:ind w:left="4320" w:hanging="360"/>
      </w:pPr>
      <w:rPr>
        <w:rFonts w:ascii="Wingdings" w:hAnsi="Wingdings" w:hint="default"/>
        <w:sz w:val="20"/>
      </w:rPr>
    </w:lvl>
    <w:lvl w:ilvl="6" w:tplc="FE4C643A" w:tentative="1">
      <w:start w:val="1"/>
      <w:numFmt w:val="bullet"/>
      <w:lvlText w:val=""/>
      <w:lvlJc w:val="left"/>
      <w:pPr>
        <w:tabs>
          <w:tab w:val="num" w:pos="5040"/>
        </w:tabs>
        <w:ind w:left="5040" w:hanging="360"/>
      </w:pPr>
      <w:rPr>
        <w:rFonts w:ascii="Wingdings" w:hAnsi="Wingdings" w:hint="default"/>
        <w:sz w:val="20"/>
      </w:rPr>
    </w:lvl>
    <w:lvl w:ilvl="7" w:tplc="8F8C7AD6" w:tentative="1">
      <w:start w:val="1"/>
      <w:numFmt w:val="bullet"/>
      <w:lvlText w:val=""/>
      <w:lvlJc w:val="left"/>
      <w:pPr>
        <w:tabs>
          <w:tab w:val="num" w:pos="5760"/>
        </w:tabs>
        <w:ind w:left="5760" w:hanging="360"/>
      </w:pPr>
      <w:rPr>
        <w:rFonts w:ascii="Wingdings" w:hAnsi="Wingdings" w:hint="default"/>
        <w:sz w:val="20"/>
      </w:rPr>
    </w:lvl>
    <w:lvl w:ilvl="8" w:tplc="F2C29F7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1E52FE"/>
    <w:multiLevelType w:val="multilevel"/>
    <w:tmpl w:val="68F2627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1D81313"/>
    <w:multiLevelType w:val="hybridMultilevel"/>
    <w:tmpl w:val="7F4E33F6"/>
    <w:lvl w:ilvl="0" w:tplc="9AEE24C8">
      <w:start w:val="1"/>
      <w:numFmt w:val="decimal"/>
      <w:lvlText w:val="(%1)"/>
      <w:lvlJc w:val="left"/>
      <w:pPr>
        <w:tabs>
          <w:tab w:val="num" w:pos="1080"/>
        </w:tabs>
        <w:ind w:left="1080" w:hanging="720"/>
      </w:pPr>
      <w:rPr>
        <w:rFonts w:ascii="Arial" w:hAnsi="Arial" w:cs="Arial" w:hint="default"/>
        <w:sz w:val="22"/>
      </w:rPr>
    </w:lvl>
    <w:lvl w:ilvl="1" w:tplc="81F03F5E" w:tentative="1">
      <w:start w:val="1"/>
      <w:numFmt w:val="lowerLetter"/>
      <w:lvlText w:val="%2."/>
      <w:lvlJc w:val="left"/>
      <w:pPr>
        <w:tabs>
          <w:tab w:val="num" w:pos="1440"/>
        </w:tabs>
        <w:ind w:left="1440" w:hanging="360"/>
      </w:pPr>
      <w:rPr>
        <w:rFonts w:cs="Times New Roman"/>
      </w:rPr>
    </w:lvl>
    <w:lvl w:ilvl="2" w:tplc="45DC5758" w:tentative="1">
      <w:start w:val="1"/>
      <w:numFmt w:val="lowerRoman"/>
      <w:lvlText w:val="%3."/>
      <w:lvlJc w:val="right"/>
      <w:pPr>
        <w:tabs>
          <w:tab w:val="num" w:pos="2160"/>
        </w:tabs>
        <w:ind w:left="2160" w:hanging="180"/>
      </w:pPr>
      <w:rPr>
        <w:rFonts w:cs="Times New Roman"/>
      </w:rPr>
    </w:lvl>
    <w:lvl w:ilvl="3" w:tplc="3D508AE6" w:tentative="1">
      <w:start w:val="1"/>
      <w:numFmt w:val="decimal"/>
      <w:lvlText w:val="%4."/>
      <w:lvlJc w:val="left"/>
      <w:pPr>
        <w:tabs>
          <w:tab w:val="num" w:pos="2880"/>
        </w:tabs>
        <w:ind w:left="2880" w:hanging="360"/>
      </w:pPr>
      <w:rPr>
        <w:rFonts w:cs="Times New Roman"/>
      </w:rPr>
    </w:lvl>
    <w:lvl w:ilvl="4" w:tplc="1598B24E" w:tentative="1">
      <w:start w:val="1"/>
      <w:numFmt w:val="lowerLetter"/>
      <w:lvlText w:val="%5."/>
      <w:lvlJc w:val="left"/>
      <w:pPr>
        <w:tabs>
          <w:tab w:val="num" w:pos="3600"/>
        </w:tabs>
        <w:ind w:left="3600" w:hanging="360"/>
      </w:pPr>
      <w:rPr>
        <w:rFonts w:cs="Times New Roman"/>
      </w:rPr>
    </w:lvl>
    <w:lvl w:ilvl="5" w:tplc="F468C790" w:tentative="1">
      <w:start w:val="1"/>
      <w:numFmt w:val="lowerRoman"/>
      <w:lvlText w:val="%6."/>
      <w:lvlJc w:val="right"/>
      <w:pPr>
        <w:tabs>
          <w:tab w:val="num" w:pos="4320"/>
        </w:tabs>
        <w:ind w:left="4320" w:hanging="180"/>
      </w:pPr>
      <w:rPr>
        <w:rFonts w:cs="Times New Roman"/>
      </w:rPr>
    </w:lvl>
    <w:lvl w:ilvl="6" w:tplc="531E2918" w:tentative="1">
      <w:start w:val="1"/>
      <w:numFmt w:val="decimal"/>
      <w:lvlText w:val="%7."/>
      <w:lvlJc w:val="left"/>
      <w:pPr>
        <w:tabs>
          <w:tab w:val="num" w:pos="5040"/>
        </w:tabs>
        <w:ind w:left="5040" w:hanging="360"/>
      </w:pPr>
      <w:rPr>
        <w:rFonts w:cs="Times New Roman"/>
      </w:rPr>
    </w:lvl>
    <w:lvl w:ilvl="7" w:tplc="D7AEEF1C" w:tentative="1">
      <w:start w:val="1"/>
      <w:numFmt w:val="lowerLetter"/>
      <w:lvlText w:val="%8."/>
      <w:lvlJc w:val="left"/>
      <w:pPr>
        <w:tabs>
          <w:tab w:val="num" w:pos="5760"/>
        </w:tabs>
        <w:ind w:left="5760" w:hanging="360"/>
      </w:pPr>
      <w:rPr>
        <w:rFonts w:cs="Times New Roman"/>
      </w:rPr>
    </w:lvl>
    <w:lvl w:ilvl="8" w:tplc="A85C5452" w:tentative="1">
      <w:start w:val="1"/>
      <w:numFmt w:val="lowerRoman"/>
      <w:lvlText w:val="%9."/>
      <w:lvlJc w:val="right"/>
      <w:pPr>
        <w:tabs>
          <w:tab w:val="num" w:pos="6480"/>
        </w:tabs>
        <w:ind w:left="6480" w:hanging="180"/>
      </w:pPr>
      <w:rPr>
        <w:rFonts w:cs="Times New Roman"/>
      </w:rPr>
    </w:lvl>
  </w:abstractNum>
  <w:abstractNum w:abstractNumId="6" w15:restartNumberingAfterBreak="0">
    <w:nsid w:val="25DC15EE"/>
    <w:multiLevelType w:val="multilevel"/>
    <w:tmpl w:val="E7206966"/>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296300F9"/>
    <w:multiLevelType w:val="hybridMultilevel"/>
    <w:tmpl w:val="D0F4BD28"/>
    <w:lvl w:ilvl="0" w:tplc="47D65AF8">
      <w:start w:val="1"/>
      <w:numFmt w:val="decimal"/>
      <w:lvlText w:val="(%1)"/>
      <w:lvlJc w:val="left"/>
      <w:pPr>
        <w:tabs>
          <w:tab w:val="num" w:pos="1440"/>
        </w:tabs>
        <w:ind w:left="1440" w:hanging="720"/>
      </w:pPr>
      <w:rPr>
        <w:rFonts w:ascii="Arial" w:hAnsi="Arial" w:cs="Arial" w:hint="default"/>
        <w:sz w:val="22"/>
      </w:rPr>
    </w:lvl>
    <w:lvl w:ilvl="1" w:tplc="3AC05F4E" w:tentative="1">
      <w:start w:val="1"/>
      <w:numFmt w:val="lowerLetter"/>
      <w:lvlText w:val="%2."/>
      <w:lvlJc w:val="left"/>
      <w:pPr>
        <w:tabs>
          <w:tab w:val="num" w:pos="1800"/>
        </w:tabs>
        <w:ind w:left="1800" w:hanging="360"/>
      </w:pPr>
      <w:rPr>
        <w:rFonts w:cs="Times New Roman"/>
      </w:rPr>
    </w:lvl>
    <w:lvl w:ilvl="2" w:tplc="90DA7DEE" w:tentative="1">
      <w:start w:val="1"/>
      <w:numFmt w:val="lowerRoman"/>
      <w:lvlText w:val="%3."/>
      <w:lvlJc w:val="right"/>
      <w:pPr>
        <w:tabs>
          <w:tab w:val="num" w:pos="2520"/>
        </w:tabs>
        <w:ind w:left="2520" w:hanging="180"/>
      </w:pPr>
      <w:rPr>
        <w:rFonts w:cs="Times New Roman"/>
      </w:rPr>
    </w:lvl>
    <w:lvl w:ilvl="3" w:tplc="B27838E4" w:tentative="1">
      <w:start w:val="1"/>
      <w:numFmt w:val="decimal"/>
      <w:lvlText w:val="%4."/>
      <w:lvlJc w:val="left"/>
      <w:pPr>
        <w:tabs>
          <w:tab w:val="num" w:pos="3240"/>
        </w:tabs>
        <w:ind w:left="3240" w:hanging="360"/>
      </w:pPr>
      <w:rPr>
        <w:rFonts w:cs="Times New Roman"/>
      </w:rPr>
    </w:lvl>
    <w:lvl w:ilvl="4" w:tplc="F0A44370" w:tentative="1">
      <w:start w:val="1"/>
      <w:numFmt w:val="lowerLetter"/>
      <w:lvlText w:val="%5."/>
      <w:lvlJc w:val="left"/>
      <w:pPr>
        <w:tabs>
          <w:tab w:val="num" w:pos="3960"/>
        </w:tabs>
        <w:ind w:left="3960" w:hanging="360"/>
      </w:pPr>
      <w:rPr>
        <w:rFonts w:cs="Times New Roman"/>
      </w:rPr>
    </w:lvl>
    <w:lvl w:ilvl="5" w:tplc="7C9ABF02" w:tentative="1">
      <w:start w:val="1"/>
      <w:numFmt w:val="lowerRoman"/>
      <w:lvlText w:val="%6."/>
      <w:lvlJc w:val="right"/>
      <w:pPr>
        <w:tabs>
          <w:tab w:val="num" w:pos="4680"/>
        </w:tabs>
        <w:ind w:left="4680" w:hanging="180"/>
      </w:pPr>
      <w:rPr>
        <w:rFonts w:cs="Times New Roman"/>
      </w:rPr>
    </w:lvl>
    <w:lvl w:ilvl="6" w:tplc="1FE611FC" w:tentative="1">
      <w:start w:val="1"/>
      <w:numFmt w:val="decimal"/>
      <w:lvlText w:val="%7."/>
      <w:lvlJc w:val="left"/>
      <w:pPr>
        <w:tabs>
          <w:tab w:val="num" w:pos="5400"/>
        </w:tabs>
        <w:ind w:left="5400" w:hanging="360"/>
      </w:pPr>
      <w:rPr>
        <w:rFonts w:cs="Times New Roman"/>
      </w:rPr>
    </w:lvl>
    <w:lvl w:ilvl="7" w:tplc="501008C0" w:tentative="1">
      <w:start w:val="1"/>
      <w:numFmt w:val="lowerLetter"/>
      <w:lvlText w:val="%8."/>
      <w:lvlJc w:val="left"/>
      <w:pPr>
        <w:tabs>
          <w:tab w:val="num" w:pos="6120"/>
        </w:tabs>
        <w:ind w:left="6120" w:hanging="360"/>
      </w:pPr>
      <w:rPr>
        <w:rFonts w:cs="Times New Roman"/>
      </w:rPr>
    </w:lvl>
    <w:lvl w:ilvl="8" w:tplc="1F2C4308" w:tentative="1">
      <w:start w:val="1"/>
      <w:numFmt w:val="lowerRoman"/>
      <w:lvlText w:val="%9."/>
      <w:lvlJc w:val="right"/>
      <w:pPr>
        <w:tabs>
          <w:tab w:val="num" w:pos="6840"/>
        </w:tabs>
        <w:ind w:left="6840" w:hanging="180"/>
      </w:pPr>
      <w:rPr>
        <w:rFonts w:cs="Times New Roman"/>
      </w:rPr>
    </w:lvl>
  </w:abstractNum>
  <w:abstractNum w:abstractNumId="8" w15:restartNumberingAfterBreak="0">
    <w:nsid w:val="2C1D1057"/>
    <w:multiLevelType w:val="hybridMultilevel"/>
    <w:tmpl w:val="254E9D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83E6F25"/>
    <w:multiLevelType w:val="multilevel"/>
    <w:tmpl w:val="6F323276"/>
    <w:lvl w:ilvl="0">
      <w:start w:val="1"/>
      <w:numFmt w:val="decimal"/>
      <w:lvlText w:val="%1."/>
      <w:lvlJc w:val="left"/>
      <w:pPr>
        <w:tabs>
          <w:tab w:val="num" w:pos="360"/>
        </w:tabs>
        <w:ind w:left="360" w:hanging="360"/>
      </w:pPr>
      <w:rPr>
        <w:rFonts w:cs="Times New Roman" w:hint="default"/>
        <w:b w:val="0"/>
      </w:rPr>
    </w:lvl>
    <w:lvl w:ilvl="1">
      <w:start w:val="3"/>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0" w15:restartNumberingAfterBreak="0">
    <w:nsid w:val="3CB8257C"/>
    <w:multiLevelType w:val="multilevel"/>
    <w:tmpl w:val="70364648"/>
    <w:lvl w:ilvl="0">
      <w:start w:val="1"/>
      <w:numFmt w:val="decimal"/>
      <w:lvlText w:val="%1."/>
      <w:lvlJc w:val="left"/>
      <w:pPr>
        <w:ind w:left="720" w:hanging="36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90D0CDF"/>
    <w:multiLevelType w:val="hybridMultilevel"/>
    <w:tmpl w:val="EB580C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61FB1A21"/>
    <w:multiLevelType w:val="hybridMultilevel"/>
    <w:tmpl w:val="8BACE4F6"/>
    <w:lvl w:ilvl="0" w:tplc="92148044">
      <w:start w:val="1"/>
      <w:numFmt w:val="decimal"/>
      <w:lvlText w:val="(%1)"/>
      <w:lvlJc w:val="left"/>
      <w:pPr>
        <w:tabs>
          <w:tab w:val="num" w:pos="1080"/>
        </w:tabs>
        <w:ind w:left="1080" w:hanging="720"/>
      </w:pPr>
      <w:rPr>
        <w:rFonts w:ascii="Arial" w:hAnsi="Arial" w:cs="Arial" w:hint="default"/>
        <w:sz w:val="22"/>
      </w:rPr>
    </w:lvl>
    <w:lvl w:ilvl="1" w:tplc="296C68BA" w:tentative="1">
      <w:start w:val="1"/>
      <w:numFmt w:val="lowerLetter"/>
      <w:lvlText w:val="%2."/>
      <w:lvlJc w:val="left"/>
      <w:pPr>
        <w:tabs>
          <w:tab w:val="num" w:pos="1440"/>
        </w:tabs>
        <w:ind w:left="1440" w:hanging="360"/>
      </w:pPr>
      <w:rPr>
        <w:rFonts w:cs="Times New Roman"/>
      </w:rPr>
    </w:lvl>
    <w:lvl w:ilvl="2" w:tplc="0D049FA4" w:tentative="1">
      <w:start w:val="1"/>
      <w:numFmt w:val="lowerRoman"/>
      <w:lvlText w:val="%3."/>
      <w:lvlJc w:val="right"/>
      <w:pPr>
        <w:tabs>
          <w:tab w:val="num" w:pos="2160"/>
        </w:tabs>
        <w:ind w:left="2160" w:hanging="180"/>
      </w:pPr>
      <w:rPr>
        <w:rFonts w:cs="Times New Roman"/>
      </w:rPr>
    </w:lvl>
    <w:lvl w:ilvl="3" w:tplc="0480E9F4" w:tentative="1">
      <w:start w:val="1"/>
      <w:numFmt w:val="decimal"/>
      <w:lvlText w:val="%4."/>
      <w:lvlJc w:val="left"/>
      <w:pPr>
        <w:tabs>
          <w:tab w:val="num" w:pos="2880"/>
        </w:tabs>
        <w:ind w:left="2880" w:hanging="360"/>
      </w:pPr>
      <w:rPr>
        <w:rFonts w:cs="Times New Roman"/>
      </w:rPr>
    </w:lvl>
    <w:lvl w:ilvl="4" w:tplc="D5C8E944" w:tentative="1">
      <w:start w:val="1"/>
      <w:numFmt w:val="lowerLetter"/>
      <w:lvlText w:val="%5."/>
      <w:lvlJc w:val="left"/>
      <w:pPr>
        <w:tabs>
          <w:tab w:val="num" w:pos="3600"/>
        </w:tabs>
        <w:ind w:left="3600" w:hanging="360"/>
      </w:pPr>
      <w:rPr>
        <w:rFonts w:cs="Times New Roman"/>
      </w:rPr>
    </w:lvl>
    <w:lvl w:ilvl="5" w:tplc="6C10FBEC" w:tentative="1">
      <w:start w:val="1"/>
      <w:numFmt w:val="lowerRoman"/>
      <w:lvlText w:val="%6."/>
      <w:lvlJc w:val="right"/>
      <w:pPr>
        <w:tabs>
          <w:tab w:val="num" w:pos="4320"/>
        </w:tabs>
        <w:ind w:left="4320" w:hanging="180"/>
      </w:pPr>
      <w:rPr>
        <w:rFonts w:cs="Times New Roman"/>
      </w:rPr>
    </w:lvl>
    <w:lvl w:ilvl="6" w:tplc="1486AE72" w:tentative="1">
      <w:start w:val="1"/>
      <w:numFmt w:val="decimal"/>
      <w:lvlText w:val="%7."/>
      <w:lvlJc w:val="left"/>
      <w:pPr>
        <w:tabs>
          <w:tab w:val="num" w:pos="5040"/>
        </w:tabs>
        <w:ind w:left="5040" w:hanging="360"/>
      </w:pPr>
      <w:rPr>
        <w:rFonts w:cs="Times New Roman"/>
      </w:rPr>
    </w:lvl>
    <w:lvl w:ilvl="7" w:tplc="E2D238C4" w:tentative="1">
      <w:start w:val="1"/>
      <w:numFmt w:val="lowerLetter"/>
      <w:lvlText w:val="%8."/>
      <w:lvlJc w:val="left"/>
      <w:pPr>
        <w:tabs>
          <w:tab w:val="num" w:pos="5760"/>
        </w:tabs>
        <w:ind w:left="5760" w:hanging="360"/>
      </w:pPr>
      <w:rPr>
        <w:rFonts w:cs="Times New Roman"/>
      </w:rPr>
    </w:lvl>
    <w:lvl w:ilvl="8" w:tplc="354869B6" w:tentative="1">
      <w:start w:val="1"/>
      <w:numFmt w:val="lowerRoman"/>
      <w:lvlText w:val="%9."/>
      <w:lvlJc w:val="right"/>
      <w:pPr>
        <w:tabs>
          <w:tab w:val="num" w:pos="6480"/>
        </w:tabs>
        <w:ind w:left="6480" w:hanging="180"/>
      </w:pPr>
      <w:rPr>
        <w:rFonts w:cs="Times New Roman"/>
      </w:rPr>
    </w:lvl>
  </w:abstractNum>
  <w:abstractNum w:abstractNumId="13" w15:restartNumberingAfterBreak="0">
    <w:nsid w:val="66297720"/>
    <w:multiLevelType w:val="hybridMultilevel"/>
    <w:tmpl w:val="D372435A"/>
    <w:lvl w:ilvl="0" w:tplc="89948014">
      <w:start w:val="1"/>
      <w:numFmt w:val="bullet"/>
      <w:lvlText w:val=""/>
      <w:lvlJc w:val="left"/>
      <w:pPr>
        <w:tabs>
          <w:tab w:val="num" w:pos="720"/>
        </w:tabs>
        <w:ind w:left="720" w:hanging="360"/>
      </w:pPr>
      <w:rPr>
        <w:rFonts w:ascii="Symbol" w:hAnsi="Symbol" w:hint="default"/>
        <w:sz w:val="20"/>
      </w:rPr>
    </w:lvl>
    <w:lvl w:ilvl="1" w:tplc="FB10351C" w:tentative="1">
      <w:start w:val="1"/>
      <w:numFmt w:val="bullet"/>
      <w:lvlText w:val="o"/>
      <w:lvlJc w:val="left"/>
      <w:pPr>
        <w:tabs>
          <w:tab w:val="num" w:pos="1440"/>
        </w:tabs>
        <w:ind w:left="1440" w:hanging="360"/>
      </w:pPr>
      <w:rPr>
        <w:rFonts w:ascii="Courier New" w:hAnsi="Courier New" w:hint="default"/>
        <w:sz w:val="20"/>
      </w:rPr>
    </w:lvl>
    <w:lvl w:ilvl="2" w:tplc="C5A252A6" w:tentative="1">
      <w:start w:val="1"/>
      <w:numFmt w:val="bullet"/>
      <w:lvlText w:val=""/>
      <w:lvlJc w:val="left"/>
      <w:pPr>
        <w:tabs>
          <w:tab w:val="num" w:pos="2160"/>
        </w:tabs>
        <w:ind w:left="2160" w:hanging="360"/>
      </w:pPr>
      <w:rPr>
        <w:rFonts w:ascii="Wingdings" w:hAnsi="Wingdings" w:hint="default"/>
        <w:sz w:val="20"/>
      </w:rPr>
    </w:lvl>
    <w:lvl w:ilvl="3" w:tplc="3CCE2C4E" w:tentative="1">
      <w:start w:val="1"/>
      <w:numFmt w:val="bullet"/>
      <w:lvlText w:val=""/>
      <w:lvlJc w:val="left"/>
      <w:pPr>
        <w:tabs>
          <w:tab w:val="num" w:pos="2880"/>
        </w:tabs>
        <w:ind w:left="2880" w:hanging="360"/>
      </w:pPr>
      <w:rPr>
        <w:rFonts w:ascii="Wingdings" w:hAnsi="Wingdings" w:hint="default"/>
        <w:sz w:val="20"/>
      </w:rPr>
    </w:lvl>
    <w:lvl w:ilvl="4" w:tplc="2168E724" w:tentative="1">
      <w:start w:val="1"/>
      <w:numFmt w:val="bullet"/>
      <w:lvlText w:val=""/>
      <w:lvlJc w:val="left"/>
      <w:pPr>
        <w:tabs>
          <w:tab w:val="num" w:pos="3600"/>
        </w:tabs>
        <w:ind w:left="3600" w:hanging="360"/>
      </w:pPr>
      <w:rPr>
        <w:rFonts w:ascii="Wingdings" w:hAnsi="Wingdings" w:hint="default"/>
        <w:sz w:val="20"/>
      </w:rPr>
    </w:lvl>
    <w:lvl w:ilvl="5" w:tplc="F25651F8" w:tentative="1">
      <w:start w:val="1"/>
      <w:numFmt w:val="bullet"/>
      <w:lvlText w:val=""/>
      <w:lvlJc w:val="left"/>
      <w:pPr>
        <w:tabs>
          <w:tab w:val="num" w:pos="4320"/>
        </w:tabs>
        <w:ind w:left="4320" w:hanging="360"/>
      </w:pPr>
      <w:rPr>
        <w:rFonts w:ascii="Wingdings" w:hAnsi="Wingdings" w:hint="default"/>
        <w:sz w:val="20"/>
      </w:rPr>
    </w:lvl>
    <w:lvl w:ilvl="6" w:tplc="1368F560" w:tentative="1">
      <w:start w:val="1"/>
      <w:numFmt w:val="bullet"/>
      <w:lvlText w:val=""/>
      <w:lvlJc w:val="left"/>
      <w:pPr>
        <w:tabs>
          <w:tab w:val="num" w:pos="5040"/>
        </w:tabs>
        <w:ind w:left="5040" w:hanging="360"/>
      </w:pPr>
      <w:rPr>
        <w:rFonts w:ascii="Wingdings" w:hAnsi="Wingdings" w:hint="default"/>
        <w:sz w:val="20"/>
      </w:rPr>
    </w:lvl>
    <w:lvl w:ilvl="7" w:tplc="015213E4" w:tentative="1">
      <w:start w:val="1"/>
      <w:numFmt w:val="bullet"/>
      <w:lvlText w:val=""/>
      <w:lvlJc w:val="left"/>
      <w:pPr>
        <w:tabs>
          <w:tab w:val="num" w:pos="5760"/>
        </w:tabs>
        <w:ind w:left="5760" w:hanging="360"/>
      </w:pPr>
      <w:rPr>
        <w:rFonts w:ascii="Wingdings" w:hAnsi="Wingdings" w:hint="default"/>
        <w:sz w:val="20"/>
      </w:rPr>
    </w:lvl>
    <w:lvl w:ilvl="8" w:tplc="675EFC2E" w:tentative="1">
      <w:start w:val="1"/>
      <w:numFmt w:val="bullet"/>
      <w:lvlText w:val=""/>
      <w:lvlJc w:val="left"/>
      <w:pPr>
        <w:tabs>
          <w:tab w:val="num" w:pos="6480"/>
        </w:tabs>
        <w:ind w:left="6480" w:hanging="360"/>
      </w:pPr>
      <w:rPr>
        <w:rFonts w:ascii="Wingdings" w:hAnsi="Wingdings" w:hint="default"/>
        <w:sz w:val="20"/>
      </w:rPr>
    </w:lvl>
  </w:abstractNum>
  <w:num w:numId="1" w16cid:durableId="1791243383">
    <w:abstractNumId w:val="1"/>
  </w:num>
  <w:num w:numId="2" w16cid:durableId="226962088">
    <w:abstractNumId w:val="13"/>
  </w:num>
  <w:num w:numId="3" w16cid:durableId="1748114626">
    <w:abstractNumId w:val="7"/>
  </w:num>
  <w:num w:numId="4" w16cid:durableId="1724328217">
    <w:abstractNumId w:val="5"/>
  </w:num>
  <w:num w:numId="5" w16cid:durableId="928735535">
    <w:abstractNumId w:val="12"/>
  </w:num>
  <w:num w:numId="6" w16cid:durableId="1123380489">
    <w:abstractNumId w:val="3"/>
  </w:num>
  <w:num w:numId="7" w16cid:durableId="1080523472">
    <w:abstractNumId w:val="9"/>
  </w:num>
  <w:num w:numId="8" w16cid:durableId="1568803819">
    <w:abstractNumId w:val="6"/>
  </w:num>
  <w:num w:numId="9" w16cid:durableId="76565041">
    <w:abstractNumId w:val="2"/>
  </w:num>
  <w:num w:numId="10" w16cid:durableId="1625188327">
    <w:abstractNumId w:val="8"/>
  </w:num>
  <w:num w:numId="11" w16cid:durableId="306590135">
    <w:abstractNumId w:val="11"/>
  </w:num>
  <w:num w:numId="12" w16cid:durableId="8433196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150568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4684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E794084-83B0-4B46-BD37-262E0589DDB9}"/>
    <w:docVar w:name="dgnword-eventsink" w:val="507668536"/>
  </w:docVars>
  <w:rsids>
    <w:rsidRoot w:val="00234FB1"/>
    <w:rsid w:val="00015BCA"/>
    <w:rsid w:val="00024651"/>
    <w:rsid w:val="0004094A"/>
    <w:rsid w:val="00044597"/>
    <w:rsid w:val="00065A38"/>
    <w:rsid w:val="00072A33"/>
    <w:rsid w:val="000953D2"/>
    <w:rsid w:val="000B5149"/>
    <w:rsid w:val="000C704A"/>
    <w:rsid w:val="000D615D"/>
    <w:rsid w:val="00104C97"/>
    <w:rsid w:val="001419B0"/>
    <w:rsid w:val="00156FE0"/>
    <w:rsid w:val="00174C6A"/>
    <w:rsid w:val="001774E7"/>
    <w:rsid w:val="001812EC"/>
    <w:rsid w:val="001A7AC7"/>
    <w:rsid w:val="001F4753"/>
    <w:rsid w:val="002005AF"/>
    <w:rsid w:val="002333FF"/>
    <w:rsid w:val="00234FB1"/>
    <w:rsid w:val="00256B7C"/>
    <w:rsid w:val="00282A8C"/>
    <w:rsid w:val="0028432D"/>
    <w:rsid w:val="00285AE4"/>
    <w:rsid w:val="002B589F"/>
    <w:rsid w:val="002D7403"/>
    <w:rsid w:val="002E5E26"/>
    <w:rsid w:val="00305016"/>
    <w:rsid w:val="003214AB"/>
    <w:rsid w:val="003479E5"/>
    <w:rsid w:val="0036178C"/>
    <w:rsid w:val="0036325A"/>
    <w:rsid w:val="00394E09"/>
    <w:rsid w:val="003B2E05"/>
    <w:rsid w:val="003F2692"/>
    <w:rsid w:val="0040610F"/>
    <w:rsid w:val="0041156E"/>
    <w:rsid w:val="00422874"/>
    <w:rsid w:val="00435583"/>
    <w:rsid w:val="00454847"/>
    <w:rsid w:val="004642E2"/>
    <w:rsid w:val="00467246"/>
    <w:rsid w:val="004736E4"/>
    <w:rsid w:val="00492AB4"/>
    <w:rsid w:val="00494C0F"/>
    <w:rsid w:val="004B25EA"/>
    <w:rsid w:val="004B3438"/>
    <w:rsid w:val="004B624B"/>
    <w:rsid w:val="004B6C59"/>
    <w:rsid w:val="004C4F82"/>
    <w:rsid w:val="004E1D02"/>
    <w:rsid w:val="00504FB4"/>
    <w:rsid w:val="0050526A"/>
    <w:rsid w:val="005125E9"/>
    <w:rsid w:val="00541B64"/>
    <w:rsid w:val="005524BC"/>
    <w:rsid w:val="005530A6"/>
    <w:rsid w:val="005638EB"/>
    <w:rsid w:val="0057537C"/>
    <w:rsid w:val="00596F9A"/>
    <w:rsid w:val="005D1992"/>
    <w:rsid w:val="005F29C6"/>
    <w:rsid w:val="005F4D2E"/>
    <w:rsid w:val="005F5DF9"/>
    <w:rsid w:val="00612463"/>
    <w:rsid w:val="00620855"/>
    <w:rsid w:val="006354B6"/>
    <w:rsid w:val="0064492D"/>
    <w:rsid w:val="006451B6"/>
    <w:rsid w:val="006549F4"/>
    <w:rsid w:val="00664E69"/>
    <w:rsid w:val="00681EC4"/>
    <w:rsid w:val="006C656D"/>
    <w:rsid w:val="006F7F69"/>
    <w:rsid w:val="0072308D"/>
    <w:rsid w:val="0073561A"/>
    <w:rsid w:val="007600D1"/>
    <w:rsid w:val="007646CA"/>
    <w:rsid w:val="0076712D"/>
    <w:rsid w:val="0078272D"/>
    <w:rsid w:val="007A314E"/>
    <w:rsid w:val="007A6F09"/>
    <w:rsid w:val="007F0381"/>
    <w:rsid w:val="007F255B"/>
    <w:rsid w:val="00802EF7"/>
    <w:rsid w:val="0080511D"/>
    <w:rsid w:val="00807564"/>
    <w:rsid w:val="00816924"/>
    <w:rsid w:val="00843507"/>
    <w:rsid w:val="00850D44"/>
    <w:rsid w:val="008762EB"/>
    <w:rsid w:val="00890BC2"/>
    <w:rsid w:val="008B38C2"/>
    <w:rsid w:val="008B4504"/>
    <w:rsid w:val="008B7669"/>
    <w:rsid w:val="008C1686"/>
    <w:rsid w:val="008D12DD"/>
    <w:rsid w:val="008E6675"/>
    <w:rsid w:val="008F5140"/>
    <w:rsid w:val="00900E00"/>
    <w:rsid w:val="00923312"/>
    <w:rsid w:val="00925542"/>
    <w:rsid w:val="009545AF"/>
    <w:rsid w:val="00983554"/>
    <w:rsid w:val="009A55B0"/>
    <w:rsid w:val="009B1C7E"/>
    <w:rsid w:val="009C0B84"/>
    <w:rsid w:val="009C144E"/>
    <w:rsid w:val="009E60A3"/>
    <w:rsid w:val="009F35C8"/>
    <w:rsid w:val="00A00CCB"/>
    <w:rsid w:val="00A100DC"/>
    <w:rsid w:val="00A2016B"/>
    <w:rsid w:val="00A21E9E"/>
    <w:rsid w:val="00A345A9"/>
    <w:rsid w:val="00A43812"/>
    <w:rsid w:val="00A530BE"/>
    <w:rsid w:val="00A93AAD"/>
    <w:rsid w:val="00A957FE"/>
    <w:rsid w:val="00AA6B4F"/>
    <w:rsid w:val="00AB10BF"/>
    <w:rsid w:val="00AE4C49"/>
    <w:rsid w:val="00AF5674"/>
    <w:rsid w:val="00B03A61"/>
    <w:rsid w:val="00B574E9"/>
    <w:rsid w:val="00B6570D"/>
    <w:rsid w:val="00B773B8"/>
    <w:rsid w:val="00BA6044"/>
    <w:rsid w:val="00BB4A54"/>
    <w:rsid w:val="00BC3D19"/>
    <w:rsid w:val="00BC4042"/>
    <w:rsid w:val="00BE3979"/>
    <w:rsid w:val="00BF11AE"/>
    <w:rsid w:val="00C112A6"/>
    <w:rsid w:val="00C11458"/>
    <w:rsid w:val="00C21654"/>
    <w:rsid w:val="00C32E3B"/>
    <w:rsid w:val="00C35BFE"/>
    <w:rsid w:val="00C676EE"/>
    <w:rsid w:val="00CB3CA3"/>
    <w:rsid w:val="00CB7E53"/>
    <w:rsid w:val="00CC7E5F"/>
    <w:rsid w:val="00CD2365"/>
    <w:rsid w:val="00CE69F3"/>
    <w:rsid w:val="00CF56C3"/>
    <w:rsid w:val="00CF5ECC"/>
    <w:rsid w:val="00D14350"/>
    <w:rsid w:val="00D216BD"/>
    <w:rsid w:val="00D21A79"/>
    <w:rsid w:val="00D31E46"/>
    <w:rsid w:val="00D41422"/>
    <w:rsid w:val="00D62489"/>
    <w:rsid w:val="00D6782E"/>
    <w:rsid w:val="00D87B96"/>
    <w:rsid w:val="00D9586E"/>
    <w:rsid w:val="00DB14F4"/>
    <w:rsid w:val="00DB4789"/>
    <w:rsid w:val="00DC6CBD"/>
    <w:rsid w:val="00DE0DAA"/>
    <w:rsid w:val="00DF01F8"/>
    <w:rsid w:val="00E12B41"/>
    <w:rsid w:val="00E24E3B"/>
    <w:rsid w:val="00E53F75"/>
    <w:rsid w:val="00E86725"/>
    <w:rsid w:val="00E9243F"/>
    <w:rsid w:val="00E92C57"/>
    <w:rsid w:val="00EC0987"/>
    <w:rsid w:val="00ED4386"/>
    <w:rsid w:val="00ED79AA"/>
    <w:rsid w:val="00EE0D0B"/>
    <w:rsid w:val="00EE1581"/>
    <w:rsid w:val="00EE5875"/>
    <w:rsid w:val="00F000AA"/>
    <w:rsid w:val="00F1327C"/>
    <w:rsid w:val="00F233AA"/>
    <w:rsid w:val="00F62BB2"/>
    <w:rsid w:val="00F64982"/>
    <w:rsid w:val="00F91167"/>
    <w:rsid w:val="00FA6FC5"/>
    <w:rsid w:val="00FB46A5"/>
    <w:rsid w:val="00FE072A"/>
    <w:rsid w:val="00FF4695"/>
    <w:rsid w:val="00FF51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C61CDF"/>
  <w15:docId w15:val="{4817DC72-86B7-4EAB-848F-B216F2CCB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1D02"/>
    <w:rPr>
      <w:sz w:val="24"/>
      <w:szCs w:val="24"/>
    </w:rPr>
  </w:style>
  <w:style w:type="paragraph" w:styleId="berschrift2">
    <w:name w:val="heading 2"/>
    <w:basedOn w:val="Standard"/>
    <w:link w:val="berschrift2Zchn"/>
    <w:uiPriority w:val="99"/>
    <w:qFormat/>
    <w:rsid w:val="004E1D02"/>
    <w:pPr>
      <w:spacing w:before="100" w:beforeAutospacing="1" w:after="100" w:afterAutospacing="1"/>
      <w:outlineLvl w:val="1"/>
    </w:pPr>
    <w:rPr>
      <w:rFonts w:ascii="Arial" w:hAnsi="Arial" w:cs="Arial"/>
      <w:b/>
      <w:bCs/>
      <w:color w:val="000000"/>
      <w:sz w:val="30"/>
      <w:szCs w:val="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semiHidden/>
    <w:locked/>
    <w:rsid w:val="008B4504"/>
    <w:rPr>
      <w:rFonts w:ascii="Cambria" w:hAnsi="Cambria" w:cs="Times New Roman"/>
      <w:b/>
      <w:bCs/>
      <w:i/>
      <w:iCs/>
      <w:sz w:val="28"/>
      <w:szCs w:val="28"/>
    </w:rPr>
  </w:style>
  <w:style w:type="paragraph" w:styleId="Textkrper">
    <w:name w:val="Body Text"/>
    <w:basedOn w:val="Standard"/>
    <w:link w:val="TextkrperZchn"/>
    <w:uiPriority w:val="99"/>
    <w:rsid w:val="004E1D02"/>
    <w:pPr>
      <w:spacing w:line="480" w:lineRule="auto"/>
      <w:jc w:val="both"/>
    </w:pPr>
    <w:rPr>
      <w:szCs w:val="20"/>
    </w:rPr>
  </w:style>
  <w:style w:type="character" w:customStyle="1" w:styleId="TextkrperZchn">
    <w:name w:val="Textkörper Zchn"/>
    <w:basedOn w:val="Absatz-Standardschriftart"/>
    <w:link w:val="Textkrper"/>
    <w:uiPriority w:val="99"/>
    <w:semiHidden/>
    <w:locked/>
    <w:rsid w:val="008B4504"/>
    <w:rPr>
      <w:rFonts w:cs="Times New Roman"/>
      <w:sz w:val="24"/>
      <w:szCs w:val="24"/>
    </w:rPr>
  </w:style>
  <w:style w:type="paragraph" w:styleId="StandardWeb">
    <w:name w:val="Normal (Web)"/>
    <w:basedOn w:val="Standard"/>
    <w:uiPriority w:val="99"/>
    <w:rsid w:val="004E1D02"/>
    <w:pPr>
      <w:spacing w:before="100" w:beforeAutospacing="1" w:after="100" w:afterAutospacing="1"/>
    </w:pPr>
    <w:rPr>
      <w:color w:val="000000"/>
    </w:rPr>
  </w:style>
  <w:style w:type="character" w:styleId="Hyperlink">
    <w:name w:val="Hyperlink"/>
    <w:basedOn w:val="Absatz-Standardschriftart"/>
    <w:uiPriority w:val="99"/>
    <w:rsid w:val="004E1D02"/>
    <w:rPr>
      <w:rFonts w:cs="Times New Roman"/>
      <w:color w:val="0000FF"/>
      <w:u w:val="single"/>
    </w:rPr>
  </w:style>
  <w:style w:type="paragraph" w:styleId="Textkrper2">
    <w:name w:val="Body Text 2"/>
    <w:basedOn w:val="Standard"/>
    <w:link w:val="Textkrper2Zchn"/>
    <w:uiPriority w:val="99"/>
    <w:rsid w:val="004E1D02"/>
    <w:rPr>
      <w:rFonts w:ascii="Arial" w:hAnsi="Arial" w:cs="Arial"/>
      <w:b/>
      <w:bCs/>
      <w:sz w:val="22"/>
    </w:rPr>
  </w:style>
  <w:style w:type="character" w:customStyle="1" w:styleId="Textkrper2Zchn">
    <w:name w:val="Textkörper 2 Zchn"/>
    <w:basedOn w:val="Absatz-Standardschriftart"/>
    <w:link w:val="Textkrper2"/>
    <w:uiPriority w:val="99"/>
    <w:semiHidden/>
    <w:locked/>
    <w:rsid w:val="008B4504"/>
    <w:rPr>
      <w:rFonts w:cs="Times New Roman"/>
      <w:sz w:val="24"/>
      <w:szCs w:val="24"/>
    </w:rPr>
  </w:style>
  <w:style w:type="paragraph" w:customStyle="1" w:styleId="affiliation">
    <w:name w:val="affiliation"/>
    <w:basedOn w:val="Standard"/>
    <w:uiPriority w:val="99"/>
    <w:rsid w:val="004E1D02"/>
    <w:rPr>
      <w:color w:val="000000"/>
    </w:rPr>
  </w:style>
  <w:style w:type="character" w:customStyle="1" w:styleId="ti2">
    <w:name w:val="ti2"/>
    <w:basedOn w:val="Absatz-Standardschriftart"/>
    <w:uiPriority w:val="99"/>
    <w:rsid w:val="004E1D02"/>
    <w:rPr>
      <w:rFonts w:cs="Times New Roman"/>
    </w:rPr>
  </w:style>
  <w:style w:type="character" w:customStyle="1" w:styleId="featuredlinkouts">
    <w:name w:val="featured_linkouts"/>
    <w:basedOn w:val="Absatz-Standardschriftart"/>
    <w:uiPriority w:val="99"/>
    <w:rsid w:val="004E1D02"/>
    <w:rPr>
      <w:rFonts w:cs="Times New Roman"/>
    </w:rPr>
  </w:style>
  <w:style w:type="character" w:customStyle="1" w:styleId="linkbar">
    <w:name w:val="linkbar"/>
    <w:basedOn w:val="Absatz-Standardschriftart"/>
    <w:uiPriority w:val="99"/>
    <w:rsid w:val="004E1D02"/>
    <w:rPr>
      <w:rFonts w:cs="Times New Roman"/>
    </w:rPr>
  </w:style>
  <w:style w:type="character" w:styleId="BesuchterLink">
    <w:name w:val="FollowedHyperlink"/>
    <w:basedOn w:val="Absatz-Standardschriftart"/>
    <w:uiPriority w:val="99"/>
    <w:rsid w:val="004E1D02"/>
    <w:rPr>
      <w:rFonts w:cs="Times New Roman"/>
      <w:color w:val="800080"/>
      <w:u w:val="single"/>
    </w:rPr>
  </w:style>
  <w:style w:type="paragraph" w:styleId="Sprechblasentext">
    <w:name w:val="Balloon Text"/>
    <w:basedOn w:val="Standard"/>
    <w:link w:val="SprechblasentextZchn"/>
    <w:uiPriority w:val="99"/>
    <w:semiHidden/>
    <w:rsid w:val="004E1D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8B4504"/>
    <w:rPr>
      <w:rFonts w:cs="Times New Roman"/>
      <w:sz w:val="2"/>
    </w:rPr>
  </w:style>
  <w:style w:type="paragraph" w:styleId="Titel">
    <w:name w:val="Title"/>
    <w:basedOn w:val="Standard"/>
    <w:next w:val="Standard"/>
    <w:link w:val="TitelZchn"/>
    <w:uiPriority w:val="99"/>
    <w:qFormat/>
    <w:rsid w:val="005638EB"/>
    <w:pPr>
      <w:pBdr>
        <w:bottom w:val="single" w:sz="8" w:space="4" w:color="2DA2BF"/>
      </w:pBdr>
      <w:spacing w:after="300"/>
      <w:contextualSpacing/>
    </w:pPr>
    <w:rPr>
      <w:rFonts w:ascii="Lucida Sans Unicode" w:hAnsi="Lucida Sans Unicode"/>
      <w:color w:val="343434"/>
      <w:spacing w:val="5"/>
      <w:kern w:val="28"/>
      <w:sz w:val="52"/>
      <w:szCs w:val="52"/>
    </w:rPr>
  </w:style>
  <w:style w:type="character" w:customStyle="1" w:styleId="TitelZchn">
    <w:name w:val="Titel Zchn"/>
    <w:basedOn w:val="Absatz-Standardschriftart"/>
    <w:link w:val="Titel"/>
    <w:uiPriority w:val="99"/>
    <w:locked/>
    <w:rsid w:val="005638EB"/>
    <w:rPr>
      <w:rFonts w:ascii="Lucida Sans Unicode" w:hAnsi="Lucida Sans Unicode" w:cs="Times New Roman"/>
      <w:color w:val="343434"/>
      <w:spacing w:val="5"/>
      <w:kern w:val="28"/>
      <w:sz w:val="52"/>
      <w:szCs w:val="52"/>
    </w:rPr>
  </w:style>
  <w:style w:type="paragraph" w:styleId="Kopfzeile">
    <w:name w:val="header"/>
    <w:basedOn w:val="Standard"/>
    <w:link w:val="KopfzeileZchn"/>
    <w:uiPriority w:val="99"/>
    <w:rsid w:val="004E1D02"/>
    <w:pPr>
      <w:tabs>
        <w:tab w:val="center" w:pos="4536"/>
        <w:tab w:val="right" w:pos="9072"/>
      </w:tabs>
    </w:pPr>
  </w:style>
  <w:style w:type="character" w:customStyle="1" w:styleId="KopfzeileZchn">
    <w:name w:val="Kopfzeile Zchn"/>
    <w:basedOn w:val="Absatz-Standardschriftart"/>
    <w:link w:val="Kopfzeile"/>
    <w:uiPriority w:val="99"/>
    <w:semiHidden/>
    <w:locked/>
    <w:rsid w:val="008B4504"/>
    <w:rPr>
      <w:rFonts w:cs="Times New Roman"/>
      <w:sz w:val="24"/>
      <w:szCs w:val="24"/>
    </w:rPr>
  </w:style>
  <w:style w:type="paragraph" w:styleId="Fuzeile">
    <w:name w:val="footer"/>
    <w:basedOn w:val="Standard"/>
    <w:link w:val="FuzeileZchn"/>
    <w:uiPriority w:val="99"/>
    <w:rsid w:val="004E1D02"/>
    <w:pPr>
      <w:tabs>
        <w:tab w:val="center" w:pos="4536"/>
        <w:tab w:val="right" w:pos="9072"/>
      </w:tabs>
    </w:pPr>
  </w:style>
  <w:style w:type="character" w:customStyle="1" w:styleId="FuzeileZchn">
    <w:name w:val="Fußzeile Zchn"/>
    <w:basedOn w:val="Absatz-Standardschriftart"/>
    <w:link w:val="Fuzeile"/>
    <w:uiPriority w:val="99"/>
    <w:locked/>
    <w:rsid w:val="008B4504"/>
    <w:rPr>
      <w:rFonts w:cs="Times New Roman"/>
      <w:sz w:val="24"/>
      <w:szCs w:val="24"/>
    </w:rPr>
  </w:style>
  <w:style w:type="paragraph" w:styleId="berarbeitung">
    <w:name w:val="Revision"/>
    <w:hidden/>
    <w:uiPriority w:val="99"/>
    <w:semiHidden/>
    <w:rsid w:val="00E53F75"/>
    <w:rPr>
      <w:sz w:val="24"/>
      <w:szCs w:val="24"/>
    </w:rPr>
  </w:style>
  <w:style w:type="paragraph" w:styleId="Listenabsatz">
    <w:name w:val="List Paragraph"/>
    <w:basedOn w:val="Standard"/>
    <w:uiPriority w:val="34"/>
    <w:qFormat/>
    <w:rsid w:val="00435583"/>
    <w:pPr>
      <w:ind w:left="720"/>
      <w:contextualSpacing/>
    </w:pPr>
  </w:style>
  <w:style w:type="character" w:styleId="NichtaufgelsteErwhnung">
    <w:name w:val="Unresolved Mention"/>
    <w:basedOn w:val="Absatz-Standardschriftart"/>
    <w:uiPriority w:val="99"/>
    <w:semiHidden/>
    <w:unhideWhenUsed/>
    <w:rsid w:val="002B58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29811">
      <w:bodyDiv w:val="1"/>
      <w:marLeft w:val="0"/>
      <w:marRight w:val="0"/>
      <w:marTop w:val="0"/>
      <w:marBottom w:val="0"/>
      <w:divBdr>
        <w:top w:val="none" w:sz="0" w:space="0" w:color="auto"/>
        <w:left w:val="none" w:sz="0" w:space="0" w:color="auto"/>
        <w:bottom w:val="none" w:sz="0" w:space="0" w:color="auto"/>
        <w:right w:val="none" w:sz="0" w:space="0" w:color="auto"/>
      </w:divBdr>
    </w:div>
    <w:div w:id="54009013">
      <w:bodyDiv w:val="1"/>
      <w:marLeft w:val="0"/>
      <w:marRight w:val="0"/>
      <w:marTop w:val="0"/>
      <w:marBottom w:val="0"/>
      <w:divBdr>
        <w:top w:val="none" w:sz="0" w:space="0" w:color="auto"/>
        <w:left w:val="none" w:sz="0" w:space="0" w:color="auto"/>
        <w:bottom w:val="none" w:sz="0" w:space="0" w:color="auto"/>
        <w:right w:val="none" w:sz="0" w:space="0" w:color="auto"/>
      </w:divBdr>
    </w:div>
    <w:div w:id="137654595">
      <w:bodyDiv w:val="1"/>
      <w:marLeft w:val="0"/>
      <w:marRight w:val="0"/>
      <w:marTop w:val="0"/>
      <w:marBottom w:val="0"/>
      <w:divBdr>
        <w:top w:val="none" w:sz="0" w:space="0" w:color="auto"/>
        <w:left w:val="none" w:sz="0" w:space="0" w:color="auto"/>
        <w:bottom w:val="none" w:sz="0" w:space="0" w:color="auto"/>
        <w:right w:val="none" w:sz="0" w:space="0" w:color="auto"/>
      </w:divBdr>
    </w:div>
    <w:div w:id="285351445">
      <w:bodyDiv w:val="1"/>
      <w:marLeft w:val="0"/>
      <w:marRight w:val="0"/>
      <w:marTop w:val="0"/>
      <w:marBottom w:val="0"/>
      <w:divBdr>
        <w:top w:val="none" w:sz="0" w:space="0" w:color="auto"/>
        <w:left w:val="none" w:sz="0" w:space="0" w:color="auto"/>
        <w:bottom w:val="none" w:sz="0" w:space="0" w:color="auto"/>
        <w:right w:val="none" w:sz="0" w:space="0" w:color="auto"/>
      </w:divBdr>
    </w:div>
    <w:div w:id="358898239">
      <w:bodyDiv w:val="1"/>
      <w:marLeft w:val="0"/>
      <w:marRight w:val="0"/>
      <w:marTop w:val="0"/>
      <w:marBottom w:val="0"/>
      <w:divBdr>
        <w:top w:val="none" w:sz="0" w:space="0" w:color="auto"/>
        <w:left w:val="none" w:sz="0" w:space="0" w:color="auto"/>
        <w:bottom w:val="none" w:sz="0" w:space="0" w:color="auto"/>
        <w:right w:val="none" w:sz="0" w:space="0" w:color="auto"/>
      </w:divBdr>
    </w:div>
    <w:div w:id="378826449">
      <w:bodyDiv w:val="1"/>
      <w:marLeft w:val="0"/>
      <w:marRight w:val="0"/>
      <w:marTop w:val="0"/>
      <w:marBottom w:val="0"/>
      <w:divBdr>
        <w:top w:val="none" w:sz="0" w:space="0" w:color="auto"/>
        <w:left w:val="none" w:sz="0" w:space="0" w:color="auto"/>
        <w:bottom w:val="none" w:sz="0" w:space="0" w:color="auto"/>
        <w:right w:val="none" w:sz="0" w:space="0" w:color="auto"/>
      </w:divBdr>
    </w:div>
    <w:div w:id="425656365">
      <w:bodyDiv w:val="1"/>
      <w:marLeft w:val="0"/>
      <w:marRight w:val="0"/>
      <w:marTop w:val="0"/>
      <w:marBottom w:val="0"/>
      <w:divBdr>
        <w:top w:val="none" w:sz="0" w:space="0" w:color="auto"/>
        <w:left w:val="none" w:sz="0" w:space="0" w:color="auto"/>
        <w:bottom w:val="none" w:sz="0" w:space="0" w:color="auto"/>
        <w:right w:val="none" w:sz="0" w:space="0" w:color="auto"/>
      </w:divBdr>
    </w:div>
    <w:div w:id="453837437">
      <w:bodyDiv w:val="1"/>
      <w:marLeft w:val="0"/>
      <w:marRight w:val="0"/>
      <w:marTop w:val="0"/>
      <w:marBottom w:val="0"/>
      <w:divBdr>
        <w:top w:val="none" w:sz="0" w:space="0" w:color="auto"/>
        <w:left w:val="none" w:sz="0" w:space="0" w:color="auto"/>
        <w:bottom w:val="none" w:sz="0" w:space="0" w:color="auto"/>
        <w:right w:val="none" w:sz="0" w:space="0" w:color="auto"/>
      </w:divBdr>
    </w:div>
    <w:div w:id="454444965">
      <w:bodyDiv w:val="1"/>
      <w:marLeft w:val="0"/>
      <w:marRight w:val="0"/>
      <w:marTop w:val="0"/>
      <w:marBottom w:val="0"/>
      <w:divBdr>
        <w:top w:val="none" w:sz="0" w:space="0" w:color="auto"/>
        <w:left w:val="none" w:sz="0" w:space="0" w:color="auto"/>
        <w:bottom w:val="none" w:sz="0" w:space="0" w:color="auto"/>
        <w:right w:val="none" w:sz="0" w:space="0" w:color="auto"/>
      </w:divBdr>
    </w:div>
    <w:div w:id="638919592">
      <w:bodyDiv w:val="1"/>
      <w:marLeft w:val="0"/>
      <w:marRight w:val="0"/>
      <w:marTop w:val="0"/>
      <w:marBottom w:val="0"/>
      <w:divBdr>
        <w:top w:val="none" w:sz="0" w:space="0" w:color="auto"/>
        <w:left w:val="none" w:sz="0" w:space="0" w:color="auto"/>
        <w:bottom w:val="none" w:sz="0" w:space="0" w:color="auto"/>
        <w:right w:val="none" w:sz="0" w:space="0" w:color="auto"/>
      </w:divBdr>
    </w:div>
    <w:div w:id="727413950">
      <w:bodyDiv w:val="1"/>
      <w:marLeft w:val="0"/>
      <w:marRight w:val="0"/>
      <w:marTop w:val="0"/>
      <w:marBottom w:val="0"/>
      <w:divBdr>
        <w:top w:val="none" w:sz="0" w:space="0" w:color="auto"/>
        <w:left w:val="none" w:sz="0" w:space="0" w:color="auto"/>
        <w:bottom w:val="none" w:sz="0" w:space="0" w:color="auto"/>
        <w:right w:val="none" w:sz="0" w:space="0" w:color="auto"/>
      </w:divBdr>
    </w:div>
    <w:div w:id="791902168">
      <w:bodyDiv w:val="1"/>
      <w:marLeft w:val="0"/>
      <w:marRight w:val="0"/>
      <w:marTop w:val="0"/>
      <w:marBottom w:val="0"/>
      <w:divBdr>
        <w:top w:val="none" w:sz="0" w:space="0" w:color="auto"/>
        <w:left w:val="none" w:sz="0" w:space="0" w:color="auto"/>
        <w:bottom w:val="none" w:sz="0" w:space="0" w:color="auto"/>
        <w:right w:val="none" w:sz="0" w:space="0" w:color="auto"/>
      </w:divBdr>
    </w:div>
    <w:div w:id="1108770110">
      <w:bodyDiv w:val="1"/>
      <w:marLeft w:val="0"/>
      <w:marRight w:val="0"/>
      <w:marTop w:val="0"/>
      <w:marBottom w:val="0"/>
      <w:divBdr>
        <w:top w:val="none" w:sz="0" w:space="0" w:color="auto"/>
        <w:left w:val="none" w:sz="0" w:space="0" w:color="auto"/>
        <w:bottom w:val="none" w:sz="0" w:space="0" w:color="auto"/>
        <w:right w:val="none" w:sz="0" w:space="0" w:color="auto"/>
      </w:divBdr>
    </w:div>
    <w:div w:id="1118452117">
      <w:bodyDiv w:val="1"/>
      <w:marLeft w:val="0"/>
      <w:marRight w:val="0"/>
      <w:marTop w:val="0"/>
      <w:marBottom w:val="0"/>
      <w:divBdr>
        <w:top w:val="none" w:sz="0" w:space="0" w:color="auto"/>
        <w:left w:val="none" w:sz="0" w:space="0" w:color="auto"/>
        <w:bottom w:val="none" w:sz="0" w:space="0" w:color="auto"/>
        <w:right w:val="none" w:sz="0" w:space="0" w:color="auto"/>
      </w:divBdr>
    </w:div>
    <w:div w:id="1121724161">
      <w:bodyDiv w:val="1"/>
      <w:marLeft w:val="0"/>
      <w:marRight w:val="0"/>
      <w:marTop w:val="0"/>
      <w:marBottom w:val="0"/>
      <w:divBdr>
        <w:top w:val="none" w:sz="0" w:space="0" w:color="auto"/>
        <w:left w:val="none" w:sz="0" w:space="0" w:color="auto"/>
        <w:bottom w:val="none" w:sz="0" w:space="0" w:color="auto"/>
        <w:right w:val="none" w:sz="0" w:space="0" w:color="auto"/>
      </w:divBdr>
    </w:div>
    <w:div w:id="1230338369">
      <w:bodyDiv w:val="1"/>
      <w:marLeft w:val="0"/>
      <w:marRight w:val="0"/>
      <w:marTop w:val="0"/>
      <w:marBottom w:val="0"/>
      <w:divBdr>
        <w:top w:val="none" w:sz="0" w:space="0" w:color="auto"/>
        <w:left w:val="none" w:sz="0" w:space="0" w:color="auto"/>
        <w:bottom w:val="none" w:sz="0" w:space="0" w:color="auto"/>
        <w:right w:val="none" w:sz="0" w:space="0" w:color="auto"/>
      </w:divBdr>
    </w:div>
    <w:div w:id="1483962241">
      <w:bodyDiv w:val="1"/>
      <w:marLeft w:val="0"/>
      <w:marRight w:val="0"/>
      <w:marTop w:val="0"/>
      <w:marBottom w:val="0"/>
      <w:divBdr>
        <w:top w:val="none" w:sz="0" w:space="0" w:color="auto"/>
        <w:left w:val="none" w:sz="0" w:space="0" w:color="auto"/>
        <w:bottom w:val="none" w:sz="0" w:space="0" w:color="auto"/>
        <w:right w:val="none" w:sz="0" w:space="0" w:color="auto"/>
      </w:divBdr>
    </w:div>
    <w:div w:id="1506901232">
      <w:bodyDiv w:val="1"/>
      <w:marLeft w:val="0"/>
      <w:marRight w:val="0"/>
      <w:marTop w:val="0"/>
      <w:marBottom w:val="0"/>
      <w:divBdr>
        <w:top w:val="none" w:sz="0" w:space="0" w:color="auto"/>
        <w:left w:val="none" w:sz="0" w:space="0" w:color="auto"/>
        <w:bottom w:val="none" w:sz="0" w:space="0" w:color="auto"/>
        <w:right w:val="none" w:sz="0" w:space="0" w:color="auto"/>
      </w:divBdr>
    </w:div>
    <w:div w:id="1616788999">
      <w:bodyDiv w:val="1"/>
      <w:marLeft w:val="0"/>
      <w:marRight w:val="0"/>
      <w:marTop w:val="0"/>
      <w:marBottom w:val="0"/>
      <w:divBdr>
        <w:top w:val="none" w:sz="0" w:space="0" w:color="auto"/>
        <w:left w:val="none" w:sz="0" w:space="0" w:color="auto"/>
        <w:bottom w:val="none" w:sz="0" w:space="0" w:color="auto"/>
        <w:right w:val="none" w:sz="0" w:space="0" w:color="auto"/>
      </w:divBdr>
    </w:div>
    <w:div w:id="1618676453">
      <w:bodyDiv w:val="1"/>
      <w:marLeft w:val="0"/>
      <w:marRight w:val="0"/>
      <w:marTop w:val="0"/>
      <w:marBottom w:val="0"/>
      <w:divBdr>
        <w:top w:val="none" w:sz="0" w:space="0" w:color="auto"/>
        <w:left w:val="none" w:sz="0" w:space="0" w:color="auto"/>
        <w:bottom w:val="none" w:sz="0" w:space="0" w:color="auto"/>
        <w:right w:val="none" w:sz="0" w:space="0" w:color="auto"/>
      </w:divBdr>
    </w:div>
    <w:div w:id="1724137040">
      <w:bodyDiv w:val="1"/>
      <w:marLeft w:val="0"/>
      <w:marRight w:val="0"/>
      <w:marTop w:val="0"/>
      <w:marBottom w:val="0"/>
      <w:divBdr>
        <w:top w:val="none" w:sz="0" w:space="0" w:color="auto"/>
        <w:left w:val="none" w:sz="0" w:space="0" w:color="auto"/>
        <w:bottom w:val="none" w:sz="0" w:space="0" w:color="auto"/>
        <w:right w:val="none" w:sz="0" w:space="0" w:color="auto"/>
      </w:divBdr>
    </w:div>
    <w:div w:id="1806923860">
      <w:bodyDiv w:val="1"/>
      <w:marLeft w:val="0"/>
      <w:marRight w:val="0"/>
      <w:marTop w:val="0"/>
      <w:marBottom w:val="0"/>
      <w:divBdr>
        <w:top w:val="none" w:sz="0" w:space="0" w:color="auto"/>
        <w:left w:val="none" w:sz="0" w:space="0" w:color="auto"/>
        <w:bottom w:val="none" w:sz="0" w:space="0" w:color="auto"/>
        <w:right w:val="none" w:sz="0" w:space="0" w:color="auto"/>
      </w:divBdr>
    </w:div>
    <w:div w:id="1861817100">
      <w:bodyDiv w:val="1"/>
      <w:marLeft w:val="0"/>
      <w:marRight w:val="0"/>
      <w:marTop w:val="0"/>
      <w:marBottom w:val="0"/>
      <w:divBdr>
        <w:top w:val="none" w:sz="0" w:space="0" w:color="auto"/>
        <w:left w:val="none" w:sz="0" w:space="0" w:color="auto"/>
        <w:bottom w:val="none" w:sz="0" w:space="0" w:color="auto"/>
        <w:right w:val="none" w:sz="0" w:space="0" w:color="auto"/>
      </w:divBdr>
    </w:div>
    <w:div w:id="1978026770">
      <w:bodyDiv w:val="1"/>
      <w:marLeft w:val="0"/>
      <w:marRight w:val="0"/>
      <w:marTop w:val="0"/>
      <w:marBottom w:val="0"/>
      <w:divBdr>
        <w:top w:val="none" w:sz="0" w:space="0" w:color="auto"/>
        <w:left w:val="none" w:sz="0" w:space="0" w:color="auto"/>
        <w:bottom w:val="none" w:sz="0" w:space="0" w:color="auto"/>
        <w:right w:val="none" w:sz="0" w:space="0" w:color="auto"/>
      </w:divBdr>
    </w:div>
    <w:div w:id="208105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strazeneca.com/media-centre/press-releases/2024/sipavibart-ema-regulatory-submission-accepted-under-accelerated-assessment-for-covid-19-preventio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1445</Words>
  <Characters>10321</Characters>
  <Application>Microsoft Office Word</Application>
  <DocSecurity>0</DocSecurity>
  <Lines>187</Lines>
  <Paragraphs>97</Paragraphs>
  <ScaleCrop>false</ScaleCrop>
  <HeadingPairs>
    <vt:vector size="2" baseType="variant">
      <vt:variant>
        <vt:lpstr>Titel</vt:lpstr>
      </vt:variant>
      <vt:variant>
        <vt:i4>1</vt:i4>
      </vt:variant>
    </vt:vector>
  </HeadingPairs>
  <TitlesOfParts>
    <vt:vector size="1" baseType="lpstr">
      <vt:lpstr>1</vt:lpstr>
    </vt:vector>
  </TitlesOfParts>
  <Company>Klinikum der Universitaet Muenchen</Company>
  <LinksUpToDate>false</LinksUpToDate>
  <CharactersWithSpaces>11669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Massenkeil</dc:creator>
  <cp:lastModifiedBy>Johanna Röder</cp:lastModifiedBy>
  <cp:revision>5</cp:revision>
  <cp:lastPrinted>2012-10-09T15:17:00Z</cp:lastPrinted>
  <dcterms:created xsi:type="dcterms:W3CDTF">2024-10-16T06:56:00Z</dcterms:created>
  <dcterms:modified xsi:type="dcterms:W3CDTF">2024-10-16T09:02:00Z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5f9e85c62f58d5856905f75a0767e68bca0dd0e009fee02dd78b53ebcba871d6</vt:lpwstr>
  </property>
</Properties>
</file>